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00B9" w14:textId="2DE3B481" w:rsidR="00B32360" w:rsidRPr="00B32360" w:rsidRDefault="00B32360" w:rsidP="00B32360">
      <w:pPr>
        <w:jc w:val="center"/>
        <w:rPr>
          <w:rFonts w:eastAsia="Times New Roman" w:cs="Times New Roman"/>
          <w:color w:val="auto"/>
          <w:kern w:val="0"/>
          <w:sz w:val="32"/>
          <w:szCs w:val="32"/>
          <w14:ligatures w14:val="none"/>
        </w:rPr>
      </w:pPr>
      <w:r w:rsidRPr="00B32360">
        <w:rPr>
          <w:rFonts w:eastAsia="Calibri" w:cs="Times New Roman"/>
          <w:b/>
          <w:color w:val="auto"/>
          <w:kern w:val="0"/>
          <w:sz w:val="32"/>
          <w:szCs w:val="32"/>
          <w14:ligatures w14:val="none"/>
        </w:rPr>
        <w:t>Siseministri määruse „</w:t>
      </w:r>
      <w:r w:rsidRPr="00B32360">
        <w:rPr>
          <w:rFonts w:cs="Times New Roman"/>
          <w:b/>
          <w:bCs/>
          <w:kern w:val="0"/>
          <w:sz w:val="32"/>
          <w:szCs w:val="32"/>
          <w:shd w:val="clear" w:color="auto" w:fill="FFFFFF"/>
        </w:rPr>
        <w:t>Suurema rahapesu</w:t>
      </w:r>
      <w:r w:rsidR="006770BC">
        <w:rPr>
          <w:rFonts w:cs="Times New Roman"/>
          <w:b/>
          <w:bCs/>
          <w:kern w:val="0"/>
          <w:sz w:val="32"/>
          <w:szCs w:val="32"/>
          <w:shd w:val="clear" w:color="auto" w:fill="FFFFFF"/>
        </w:rPr>
        <w:t>ohuga</w:t>
      </w:r>
      <w:r w:rsidRPr="00B32360">
        <w:rPr>
          <w:rFonts w:cs="Times New Roman"/>
          <w:b/>
          <w:bCs/>
          <w:kern w:val="0"/>
          <w:sz w:val="32"/>
          <w:szCs w:val="32"/>
          <w:shd w:val="clear" w:color="auto" w:fill="FFFFFF"/>
        </w:rPr>
        <w:t xml:space="preserve"> või terrorismi rahastamise </w:t>
      </w:r>
      <w:r w:rsidR="007D501E">
        <w:rPr>
          <w:rFonts w:cs="Times New Roman"/>
          <w:b/>
          <w:bCs/>
          <w:kern w:val="0"/>
          <w:sz w:val="32"/>
          <w:szCs w:val="32"/>
          <w:shd w:val="clear" w:color="auto" w:fill="FFFFFF"/>
        </w:rPr>
        <w:t>ohu</w:t>
      </w:r>
      <w:r w:rsidRPr="00B32360">
        <w:rPr>
          <w:rFonts w:cs="Times New Roman"/>
          <w:b/>
          <w:bCs/>
          <w:kern w:val="0"/>
          <w:sz w:val="32"/>
          <w:szCs w:val="32"/>
          <w:shd w:val="clear" w:color="auto" w:fill="FFFFFF"/>
        </w:rPr>
        <w:t>ga riikide ja Eestiga justiits-, julgeoleku- või õiguskaitsealase koostöösuhteta riikide loetelu ning nende riikide kodanikele e-residendi digitaalse isikutunnistuse väljaandmise erisused</w:t>
      </w:r>
      <w:r>
        <w:rPr>
          <w:rFonts w:cs="Times New Roman"/>
          <w:b/>
          <w:bCs/>
          <w:kern w:val="0"/>
          <w:sz w:val="32"/>
          <w:szCs w:val="32"/>
          <w:shd w:val="clear" w:color="auto" w:fill="FFFFFF"/>
        </w:rPr>
        <w:t xml:space="preserve">“ </w:t>
      </w:r>
      <w:r w:rsidRPr="00B32360">
        <w:rPr>
          <w:rFonts w:eastAsia="Times New Roman" w:cs="Times New Roman"/>
          <w:b/>
          <w:color w:val="auto"/>
          <w:kern w:val="0"/>
          <w:sz w:val="32"/>
          <w:szCs w:val="32"/>
          <w14:ligatures w14:val="none"/>
        </w:rPr>
        <w:t>eelnõu seletuskiri</w:t>
      </w:r>
    </w:p>
    <w:p w14:paraId="6C147692" w14:textId="77777777" w:rsidR="00B32360" w:rsidRPr="00B32360" w:rsidRDefault="00B32360" w:rsidP="00B32360">
      <w:pPr>
        <w:rPr>
          <w:rFonts w:eastAsia="Times New Roman" w:cs="Times New Roman"/>
          <w:bCs/>
          <w:color w:val="auto"/>
          <w:kern w:val="0"/>
          <w:szCs w:val="24"/>
          <w14:ligatures w14:val="none"/>
        </w:rPr>
      </w:pPr>
    </w:p>
    <w:p w14:paraId="6815B62C" w14:textId="77777777" w:rsidR="00B32360" w:rsidRPr="00B32360" w:rsidRDefault="00B32360" w:rsidP="00B32360">
      <w:pPr>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1. Sissejuhatus</w:t>
      </w:r>
    </w:p>
    <w:p w14:paraId="23FAAEFF" w14:textId="77777777" w:rsidR="00B32360" w:rsidRPr="00B32360" w:rsidRDefault="00B32360" w:rsidP="00B32360">
      <w:pPr>
        <w:jc w:val="both"/>
        <w:rPr>
          <w:rFonts w:eastAsia="Times New Roman" w:cs="Times New Roman"/>
          <w:color w:val="auto"/>
          <w:kern w:val="0"/>
          <w:szCs w:val="24"/>
          <w14:ligatures w14:val="none"/>
        </w:rPr>
      </w:pPr>
    </w:p>
    <w:p w14:paraId="63182D86" w14:textId="77777777" w:rsidR="00B32360" w:rsidRPr="00B32360" w:rsidRDefault="00B32360" w:rsidP="00B32360">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1.1. Sisukokkuvõte</w:t>
      </w:r>
    </w:p>
    <w:p w14:paraId="3197530F" w14:textId="77777777" w:rsidR="00B32360" w:rsidRPr="00B32360" w:rsidRDefault="00B32360" w:rsidP="00B32360">
      <w:pPr>
        <w:jc w:val="both"/>
        <w:rPr>
          <w:rFonts w:eastAsia="Times New Roman" w:cs="Times New Roman"/>
          <w:color w:val="auto"/>
          <w:kern w:val="0"/>
          <w:szCs w:val="24"/>
          <w14:ligatures w14:val="none"/>
        </w:rPr>
      </w:pPr>
    </w:p>
    <w:p w14:paraId="0CA9B757" w14:textId="04E9E54B" w:rsidR="00012419" w:rsidRDefault="00B32360" w:rsidP="00B32360">
      <w:pPr>
        <w:jc w:val="both"/>
      </w:pPr>
      <w:r w:rsidRPr="00B32360">
        <w:rPr>
          <w:rFonts w:eastAsia="Calibri" w:cs="Times New Roman"/>
          <w:color w:val="auto"/>
          <w:kern w:val="0"/>
          <w:szCs w:val="24"/>
          <w14:ligatures w14:val="none"/>
        </w:rPr>
        <w:t>Eelnõu on välja töötatud seoses isikut tõendavate dokumentide seaduse muutmise ja sellega seonduvalt teiste seaduste muutmise seaduse eelnõuga</w:t>
      </w:r>
      <w:r w:rsidRPr="00B32360">
        <w:rPr>
          <w:rFonts w:eastAsia="Calibri" w:cs="Times New Roman"/>
          <w:color w:val="auto"/>
          <w:kern w:val="0"/>
          <w:szCs w:val="24"/>
          <w:vertAlign w:val="superscript"/>
          <w14:ligatures w14:val="none"/>
        </w:rPr>
        <w:footnoteReference w:id="1"/>
      </w:r>
      <w:r w:rsidRPr="00B32360">
        <w:rPr>
          <w:rFonts w:eastAsia="Calibri" w:cs="Times New Roman"/>
          <w:color w:val="auto"/>
          <w:kern w:val="0"/>
          <w:szCs w:val="24"/>
          <w14:ligatures w14:val="none"/>
        </w:rPr>
        <w:t xml:space="preserve"> (edaspidi </w:t>
      </w:r>
      <w:r w:rsidRPr="00B32360">
        <w:rPr>
          <w:rFonts w:eastAsia="Calibri" w:cs="Times New Roman"/>
          <w:i/>
          <w:iCs/>
          <w:color w:val="auto"/>
          <w:kern w:val="0"/>
          <w:szCs w:val="24"/>
          <w14:ligatures w14:val="none"/>
        </w:rPr>
        <w:t xml:space="preserve">ITDS-i </w:t>
      </w:r>
      <w:r w:rsidR="009421C1">
        <w:rPr>
          <w:rFonts w:eastAsia="Calibri" w:cs="Times New Roman"/>
          <w:i/>
          <w:iCs/>
          <w:color w:val="auto"/>
          <w:kern w:val="0"/>
          <w:szCs w:val="24"/>
          <w14:ligatures w14:val="none"/>
        </w:rPr>
        <w:t xml:space="preserve">muutmise </w:t>
      </w:r>
      <w:r w:rsidRPr="00B32360">
        <w:rPr>
          <w:rFonts w:eastAsia="Calibri" w:cs="Times New Roman"/>
          <w:i/>
          <w:iCs/>
          <w:color w:val="auto"/>
          <w:kern w:val="0"/>
          <w:szCs w:val="24"/>
          <w14:ligatures w14:val="none"/>
        </w:rPr>
        <w:t>eelnõu</w:t>
      </w:r>
      <w:r w:rsidRPr="00B32360">
        <w:rPr>
          <w:rFonts w:eastAsia="Calibri" w:cs="Times New Roman"/>
          <w:color w:val="auto"/>
          <w:kern w:val="0"/>
          <w:szCs w:val="24"/>
          <w14:ligatures w14:val="none"/>
        </w:rPr>
        <w:t xml:space="preserve">), mille eesmärk on </w:t>
      </w:r>
      <w:r w:rsidRPr="00B32360">
        <w:t>suurendada identiteedihalduse turvalisust, maandada julge</w:t>
      </w:r>
      <w:r w:rsidRPr="00B32360">
        <w:softHyphen/>
        <w:t xml:space="preserve">olekuriske ja ajakohastada tööprotsesse. </w:t>
      </w:r>
      <w:r w:rsidR="002E2B07">
        <w:t xml:space="preserve">Muu hulgas </w:t>
      </w:r>
      <w:r w:rsidR="00012419">
        <w:t>loodi</w:t>
      </w:r>
      <w:r w:rsidR="002E2B07">
        <w:t xml:space="preserve"> ITDS-i </w:t>
      </w:r>
      <w:r w:rsidR="009421C1">
        <w:t xml:space="preserve">muutmise </w:t>
      </w:r>
      <w:r w:rsidR="002E2B07">
        <w:t>eelnõu</w:t>
      </w:r>
      <w:r w:rsidR="00012419">
        <w:t xml:space="preserve">ga </w:t>
      </w:r>
      <w:r w:rsidR="002E2B07">
        <w:t xml:space="preserve">õiguslik alus </w:t>
      </w:r>
      <w:r w:rsidR="002E2B07" w:rsidRPr="00A32FE3">
        <w:t xml:space="preserve">tagastada </w:t>
      </w:r>
      <w:r w:rsidR="002E2B07" w:rsidRPr="00440643">
        <w:rPr>
          <w:rFonts w:eastAsia="Times New Roman" w:cs="Times New Roman"/>
          <w:szCs w:val="24"/>
        </w:rPr>
        <w:t xml:space="preserve">e-residendi </w:t>
      </w:r>
      <w:r w:rsidR="00C619DB">
        <w:rPr>
          <w:rFonts w:eastAsia="Times New Roman" w:cs="Times New Roman"/>
          <w:szCs w:val="24"/>
        </w:rPr>
        <w:t xml:space="preserve">digitaalse isikutunnistuse (edaspidi </w:t>
      </w:r>
      <w:r w:rsidR="00C619DB" w:rsidRPr="00C619DB">
        <w:rPr>
          <w:rFonts w:eastAsia="Times New Roman" w:cs="Times New Roman"/>
          <w:i/>
          <w:iCs/>
          <w:szCs w:val="24"/>
        </w:rPr>
        <w:t xml:space="preserve">e-residendi </w:t>
      </w:r>
      <w:r w:rsidR="002E2B07" w:rsidRPr="00C619DB">
        <w:rPr>
          <w:rFonts w:eastAsia="Times New Roman" w:cs="Times New Roman"/>
          <w:i/>
          <w:iCs/>
          <w:szCs w:val="24"/>
        </w:rPr>
        <w:t>digi-ID</w:t>
      </w:r>
      <w:r w:rsidR="00C619DB">
        <w:rPr>
          <w:rFonts w:eastAsia="Times New Roman" w:cs="Times New Roman"/>
          <w:szCs w:val="24"/>
        </w:rPr>
        <w:t>)</w:t>
      </w:r>
      <w:r w:rsidR="002E2B07">
        <w:rPr>
          <w:rFonts w:eastAsia="Times New Roman" w:cs="Times New Roman"/>
          <w:szCs w:val="24"/>
        </w:rPr>
        <w:t xml:space="preserve"> </w:t>
      </w:r>
      <w:r w:rsidR="002E2B07" w:rsidRPr="00DC4780">
        <w:t xml:space="preserve">taotlus </w:t>
      </w:r>
      <w:r w:rsidR="002E2B07" w:rsidRPr="00A32FE3">
        <w:t>läbi vaatamata</w:t>
      </w:r>
      <w:r w:rsidR="002E2B07">
        <w:t xml:space="preserve"> </w:t>
      </w:r>
      <w:r w:rsidR="00012419" w:rsidRPr="00012419">
        <w:t>juhul, kui taotleja on sellise riigi kodanik, milles on suurem rahapesu</w:t>
      </w:r>
      <w:r w:rsidR="006770BC">
        <w:t>oht</w:t>
      </w:r>
      <w:r w:rsidR="00012419" w:rsidRPr="00012419">
        <w:t xml:space="preserve"> või terrorismi rahastamise oht või millega Eestil puudub justiits-, julgeoleku- või õiguskaitsealane koostöösuhe</w:t>
      </w:r>
      <w:r w:rsidR="006770BC">
        <w:t xml:space="preserve"> </w:t>
      </w:r>
      <w:r w:rsidR="00012419" w:rsidRPr="00012419">
        <w:t>ja taotlejale ei kohaldata ITDS-i § 20</w:t>
      </w:r>
      <w:r w:rsidR="00012419" w:rsidRPr="00012419">
        <w:rPr>
          <w:vertAlign w:val="superscript"/>
        </w:rPr>
        <w:t>6</w:t>
      </w:r>
      <w:r w:rsidR="00012419" w:rsidRPr="00012419">
        <w:t xml:space="preserve"> lõike 1</w:t>
      </w:r>
      <w:r w:rsidR="00012419" w:rsidRPr="00012419">
        <w:rPr>
          <w:vertAlign w:val="superscript"/>
        </w:rPr>
        <w:t>2</w:t>
      </w:r>
      <w:r w:rsidR="00012419" w:rsidRPr="00012419">
        <w:t xml:space="preserve"> alusel kehtestatud erisusi.</w:t>
      </w:r>
    </w:p>
    <w:p w14:paraId="0DE43782" w14:textId="77777777" w:rsidR="00012419" w:rsidRDefault="00012419" w:rsidP="00B32360">
      <w:pPr>
        <w:jc w:val="both"/>
      </w:pPr>
    </w:p>
    <w:p w14:paraId="52AC743F" w14:textId="189E1DCC" w:rsidR="00654783" w:rsidRPr="007E0CE2" w:rsidRDefault="00012419" w:rsidP="00B32360">
      <w:pPr>
        <w:contextualSpacing/>
        <w:jc w:val="both"/>
      </w:pPr>
      <w:r>
        <w:t>Määruse eelnõu</w:t>
      </w:r>
      <w:r w:rsidR="00E65656">
        <w:t>ga</w:t>
      </w:r>
      <w:r>
        <w:t xml:space="preserve"> </w:t>
      </w:r>
      <w:r w:rsidR="00E65656">
        <w:t>kehtestatava</w:t>
      </w:r>
      <w:r>
        <w:t xml:space="preserve"> riikide</w:t>
      </w:r>
      <w:r w:rsidR="00E65656">
        <w:t xml:space="preserve"> loetelu</w:t>
      </w:r>
      <w:r>
        <w:t xml:space="preserve"> </w:t>
      </w:r>
      <w:r w:rsidR="00E65656">
        <w:t>aluseks on</w:t>
      </w:r>
      <w:r w:rsidR="00654783">
        <w:t xml:space="preserve"> </w:t>
      </w:r>
      <w:r w:rsidR="00A728DD">
        <w:t xml:space="preserve">Rahapesu Andmebüroo (edaspidi </w:t>
      </w:r>
      <w:r w:rsidR="00654783" w:rsidRPr="00A728DD">
        <w:rPr>
          <w:i/>
          <w:iCs/>
        </w:rPr>
        <w:t>RAB</w:t>
      </w:r>
      <w:r w:rsidR="00A728DD">
        <w:t>)</w:t>
      </w:r>
      <w:r w:rsidR="00654783">
        <w:t xml:space="preserve"> avaldatud nimekir</w:t>
      </w:r>
      <w:r w:rsidR="003F296F">
        <w:t>ja</w:t>
      </w:r>
      <w:r w:rsidR="007E0CE2">
        <w:t>s</w:t>
      </w:r>
      <w:r w:rsidR="00654783">
        <w:rPr>
          <w:rStyle w:val="FootnoteReference"/>
        </w:rPr>
        <w:footnoteReference w:id="2"/>
      </w:r>
      <w:r w:rsidR="007E0CE2">
        <w:t xml:space="preserve"> olevad</w:t>
      </w:r>
      <w:r w:rsidR="003F296F">
        <w:t xml:space="preserve"> riigid</w:t>
      </w:r>
      <w:r w:rsidR="007E0CE2">
        <w:t>, mille osas RAB on lähtunud</w:t>
      </w:r>
      <w:r w:rsidR="003F296F">
        <w:t xml:space="preserve"> </w:t>
      </w:r>
      <w:r w:rsidR="00E65656">
        <w:t>r</w:t>
      </w:r>
      <w:r w:rsidR="00E65656" w:rsidRPr="001C5FCB">
        <w:t>ahapesuvastase töökonna (FATF)</w:t>
      </w:r>
      <w:r w:rsidR="00E65656" w:rsidRPr="001C5FCB">
        <w:rPr>
          <w:rStyle w:val="FootnoteReference"/>
        </w:rPr>
        <w:footnoteReference w:id="3"/>
      </w:r>
      <w:r w:rsidR="00E65656" w:rsidRPr="001C5FCB">
        <w:t xml:space="preserve"> ja Euroopa Liidu</w:t>
      </w:r>
      <w:r w:rsidR="00E65656" w:rsidRPr="001C5FCB">
        <w:rPr>
          <w:rStyle w:val="FootnoteReference"/>
        </w:rPr>
        <w:footnoteReference w:id="4"/>
      </w:r>
      <w:r w:rsidR="00EF7474">
        <w:t xml:space="preserve"> </w:t>
      </w:r>
      <w:r w:rsidR="00E65656" w:rsidRPr="00E65656">
        <w:t>hinnangu</w:t>
      </w:r>
      <w:r w:rsidR="007E0CE2">
        <w:t>st</w:t>
      </w:r>
      <w:r w:rsidR="00E65656" w:rsidRPr="001C5FCB">
        <w:t>.</w:t>
      </w:r>
      <w:r w:rsidR="00654783">
        <w:t xml:space="preserve"> Lisaks kohaldatakse erisusi, mis võtavad arvesse julgeolekukaalutlusi, Eesti majanduslikke ja välispoliitilisi huve ning </w:t>
      </w:r>
      <w:proofErr w:type="spellStart"/>
      <w:r w:rsidR="00654783">
        <w:t>e</w:t>
      </w:r>
      <w:r w:rsidR="00654783">
        <w:noBreakHyphen/>
        <w:t>resi</w:t>
      </w:r>
      <w:r w:rsidR="00654783">
        <w:softHyphen/>
        <w:t>dentsuse</w:t>
      </w:r>
      <w:proofErr w:type="spellEnd"/>
      <w:r w:rsidR="00654783">
        <w:t xml:space="preserve"> programmi eesmärke.</w:t>
      </w:r>
    </w:p>
    <w:p w14:paraId="294436B0" w14:textId="77777777" w:rsidR="00654783" w:rsidRPr="00B32360" w:rsidRDefault="00654783" w:rsidP="00B32360">
      <w:pPr>
        <w:jc w:val="both"/>
        <w:rPr>
          <w:rFonts w:eastAsia="Calibri" w:cs="Times New Roman"/>
          <w:color w:val="auto"/>
          <w:kern w:val="0"/>
          <w:szCs w:val="24"/>
          <w14:ligatures w14:val="none"/>
        </w:rPr>
      </w:pPr>
    </w:p>
    <w:p w14:paraId="1D2339D5" w14:textId="00A36D20" w:rsidR="00B32360" w:rsidRPr="00B32360" w:rsidRDefault="00B32360" w:rsidP="00B32360">
      <w:pPr>
        <w:jc w:val="both"/>
        <w:rPr>
          <w:rFonts w:cs="Times New Roman"/>
          <w:szCs w:val="24"/>
        </w:rPr>
      </w:pPr>
      <w:r w:rsidRPr="00B32360">
        <w:rPr>
          <w:rFonts w:cs="Times New Roman"/>
          <w:szCs w:val="24"/>
        </w:rPr>
        <w:t xml:space="preserve">Määrus kehtestatakse isikut tõendavate dokumentide seaduse </w:t>
      </w:r>
      <w:r w:rsidRPr="00B32360">
        <w:rPr>
          <w:rFonts w:cs="Times New Roman"/>
          <w:kern w:val="1"/>
          <w:szCs w:val="24"/>
          <w:lang w:eastAsia="et-EE" w:bidi="hi-IN"/>
        </w:rPr>
        <w:t xml:space="preserve">§ </w:t>
      </w:r>
      <w:r w:rsidR="00A92AA1">
        <w:rPr>
          <w:rFonts w:cs="Times New Roman"/>
          <w:kern w:val="1"/>
          <w:szCs w:val="24"/>
          <w:lang w:eastAsia="et-EE" w:bidi="hi-IN"/>
        </w:rPr>
        <w:t>20</w:t>
      </w:r>
      <w:r w:rsidR="00A92AA1">
        <w:rPr>
          <w:rFonts w:cs="Times New Roman"/>
          <w:kern w:val="1"/>
          <w:szCs w:val="24"/>
          <w:vertAlign w:val="superscript"/>
          <w:lang w:eastAsia="et-EE" w:bidi="hi-IN"/>
        </w:rPr>
        <w:t>6</w:t>
      </w:r>
      <w:r w:rsidRPr="00B32360">
        <w:rPr>
          <w:rFonts w:cs="Times New Roman"/>
          <w:kern w:val="1"/>
          <w:szCs w:val="24"/>
          <w:lang w:eastAsia="et-EE" w:bidi="hi-IN"/>
        </w:rPr>
        <w:t xml:space="preserve"> lõike </w:t>
      </w:r>
      <w:r w:rsidR="00A92AA1">
        <w:rPr>
          <w:rFonts w:cs="Times New Roman"/>
          <w:kern w:val="1"/>
          <w:szCs w:val="24"/>
          <w:lang w:eastAsia="et-EE" w:bidi="hi-IN"/>
        </w:rPr>
        <w:t>1</w:t>
      </w:r>
      <w:r w:rsidR="00A92AA1" w:rsidRPr="00A92AA1">
        <w:rPr>
          <w:rFonts w:cs="Times New Roman"/>
          <w:kern w:val="1"/>
          <w:szCs w:val="24"/>
          <w:vertAlign w:val="superscript"/>
          <w:lang w:eastAsia="et-EE" w:bidi="hi-IN"/>
        </w:rPr>
        <w:t>2</w:t>
      </w:r>
      <w:r w:rsidRPr="00B32360">
        <w:rPr>
          <w:rFonts w:cs="Times New Roman"/>
          <w:kern w:val="1"/>
          <w:szCs w:val="24"/>
          <w:lang w:eastAsia="et-EE" w:bidi="hi-IN"/>
        </w:rPr>
        <w:t xml:space="preserve"> </w:t>
      </w:r>
      <w:r w:rsidRPr="00B32360">
        <w:rPr>
          <w:rFonts w:cs="Times New Roman"/>
          <w:szCs w:val="24"/>
        </w:rPr>
        <w:t>alusel.</w:t>
      </w:r>
    </w:p>
    <w:p w14:paraId="6B6E6A55" w14:textId="77777777" w:rsidR="00B32360" w:rsidRPr="00B32360" w:rsidRDefault="00B32360" w:rsidP="00B32360">
      <w:pPr>
        <w:jc w:val="both"/>
        <w:rPr>
          <w:rFonts w:eastAsia="Times New Roman" w:cs="Times New Roman"/>
          <w:color w:val="auto"/>
          <w:kern w:val="0"/>
          <w:szCs w:val="24"/>
          <w14:ligatures w14:val="none"/>
        </w:rPr>
      </w:pPr>
    </w:p>
    <w:p w14:paraId="05F22370" w14:textId="77777777" w:rsidR="00B32360" w:rsidRPr="00B32360" w:rsidRDefault="00B32360" w:rsidP="00B32360">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1.2. Ettevalmistaja</w:t>
      </w:r>
    </w:p>
    <w:p w14:paraId="35462A2C" w14:textId="77777777" w:rsidR="00B32360" w:rsidRPr="00B32360" w:rsidRDefault="00B32360" w:rsidP="00B32360">
      <w:pPr>
        <w:jc w:val="both"/>
        <w:rPr>
          <w:rFonts w:eastAsia="Times New Roman" w:cs="Times New Roman"/>
          <w:b/>
          <w:bCs/>
          <w:color w:val="auto"/>
          <w:kern w:val="0"/>
          <w:szCs w:val="24"/>
          <w14:ligatures w14:val="none"/>
        </w:rPr>
      </w:pPr>
    </w:p>
    <w:p w14:paraId="5FCCB372" w14:textId="4F2611AC" w:rsidR="00B32360" w:rsidRPr="00B32360" w:rsidRDefault="00B32360" w:rsidP="00B32360">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 ja seletuskirja on koostanud Siseministeeriumi nõunik Elen Kraavik (</w:t>
      </w:r>
      <w:hyperlink r:id="rId8" w:history="1">
        <w:r w:rsidRPr="00B32360">
          <w:rPr>
            <w:rFonts w:eastAsia="Times New Roman" w:cs="Times New Roman"/>
            <w:color w:val="0000FF"/>
            <w:kern w:val="0"/>
            <w:szCs w:val="24"/>
            <w:u w:val="single"/>
            <w14:ligatures w14:val="none"/>
          </w:rPr>
          <w:t>elen.kraavik@siseministeerium.ee</w:t>
        </w:r>
      </w:hyperlink>
      <w:r w:rsidRPr="00B32360">
        <w:rPr>
          <w:rFonts w:eastAsia="Times New Roman" w:cs="Times New Roman"/>
          <w:color w:val="auto"/>
          <w:kern w:val="0"/>
          <w:szCs w:val="24"/>
          <w14:ligatures w14:val="none"/>
        </w:rPr>
        <w:t>)</w:t>
      </w:r>
      <w:r w:rsidR="00A728DD">
        <w:rPr>
          <w:rFonts w:eastAsia="Times New Roman" w:cs="Times New Roman"/>
          <w:color w:val="auto"/>
          <w:kern w:val="0"/>
          <w:szCs w:val="24"/>
          <w14:ligatures w14:val="none"/>
        </w:rPr>
        <w:t xml:space="preserve">. </w:t>
      </w:r>
    </w:p>
    <w:p w14:paraId="4B0D17F8" w14:textId="77777777" w:rsidR="00B32360" w:rsidRPr="00B32360" w:rsidRDefault="00B32360" w:rsidP="00B32360">
      <w:pPr>
        <w:rPr>
          <w:rFonts w:eastAsia="Times New Roman" w:cs="Times New Roman"/>
          <w:color w:val="auto"/>
          <w:kern w:val="0"/>
          <w:szCs w:val="24"/>
          <w14:ligatures w14:val="none"/>
        </w:rPr>
      </w:pPr>
    </w:p>
    <w:p w14:paraId="130501C4" w14:textId="4749A54B" w:rsidR="006770BC" w:rsidRDefault="00B32360" w:rsidP="00B32360">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 xml:space="preserve">Eelnõu ja seletuskirja juriidilist kvaliteeti on kontrollinud Siseministeeriumi </w:t>
      </w:r>
      <w:r w:rsidR="006770BC">
        <w:rPr>
          <w:rFonts w:eastAsia="Times New Roman" w:cs="Times New Roman"/>
          <w:color w:val="auto"/>
          <w:kern w:val="0"/>
          <w:szCs w:val="24"/>
          <w14:ligatures w14:val="none"/>
        </w:rPr>
        <w:t>õ</w:t>
      </w:r>
      <w:r w:rsidRPr="00B32360">
        <w:rPr>
          <w:rFonts w:eastAsia="Times New Roman" w:cs="Times New Roman"/>
          <w:color w:val="auto"/>
          <w:kern w:val="0"/>
          <w:szCs w:val="24"/>
          <w14:ligatures w14:val="none"/>
        </w:rPr>
        <w:t xml:space="preserve">igusnõunik </w:t>
      </w:r>
      <w:r w:rsidR="006770BC">
        <w:rPr>
          <w:rFonts w:eastAsia="Times New Roman" w:cs="Times New Roman"/>
          <w:color w:val="auto"/>
          <w:kern w:val="0"/>
          <w:szCs w:val="24"/>
          <w14:ligatures w14:val="none"/>
        </w:rPr>
        <w:t>Maret Saanküll</w:t>
      </w:r>
      <w:r w:rsidR="00A728DD">
        <w:rPr>
          <w:rFonts w:eastAsia="Times New Roman" w:cs="Times New Roman"/>
          <w:color w:val="auto"/>
          <w:kern w:val="0"/>
          <w:szCs w:val="24"/>
          <w14:ligatures w14:val="none"/>
        </w:rPr>
        <w:t xml:space="preserve"> </w:t>
      </w:r>
      <w:r w:rsidR="00A728DD" w:rsidRPr="00B32360">
        <w:rPr>
          <w:rFonts w:eastAsia="Times New Roman" w:cs="Times New Roman"/>
          <w:color w:val="auto"/>
          <w:kern w:val="0"/>
          <w:szCs w:val="24"/>
          <w14:ligatures w14:val="none"/>
        </w:rPr>
        <w:t>(</w:t>
      </w:r>
      <w:hyperlink r:id="rId9" w:history="1">
        <w:r w:rsidR="00A728DD" w:rsidRPr="00B32360">
          <w:rPr>
            <w:rFonts w:eastAsia="Times New Roman" w:cs="Times New Roman"/>
            <w:color w:val="0000FF"/>
            <w:kern w:val="0"/>
            <w:szCs w:val="24"/>
            <w:u w:val="single"/>
            <w14:ligatures w14:val="none"/>
          </w:rPr>
          <w:t>maret.saankyll@siseministeerium.ee</w:t>
        </w:r>
      </w:hyperlink>
      <w:r w:rsidR="00A728DD" w:rsidRPr="00B32360">
        <w:rPr>
          <w:rFonts w:eastAsia="Times New Roman" w:cs="Times New Roman"/>
          <w:color w:val="auto"/>
          <w:kern w:val="0"/>
          <w:szCs w:val="24"/>
          <w14:ligatures w14:val="none"/>
        </w:rPr>
        <w:t>)</w:t>
      </w:r>
      <w:r w:rsidR="006770BC">
        <w:rPr>
          <w:rFonts w:eastAsia="Times New Roman" w:cs="Times New Roman"/>
          <w:color w:val="auto"/>
          <w:kern w:val="0"/>
          <w:szCs w:val="24"/>
          <w14:ligatures w14:val="none"/>
        </w:rPr>
        <w:t>.</w:t>
      </w:r>
    </w:p>
    <w:p w14:paraId="54C2DF97" w14:textId="77777777" w:rsidR="00A728DD" w:rsidRDefault="00A728DD" w:rsidP="00B32360">
      <w:pPr>
        <w:jc w:val="both"/>
        <w:rPr>
          <w:rFonts w:eastAsia="Times New Roman" w:cs="Times New Roman"/>
          <w:color w:val="auto"/>
          <w:kern w:val="0"/>
          <w:szCs w:val="24"/>
          <w:highlight w:val="yellow"/>
          <w14:ligatures w14:val="none"/>
        </w:rPr>
      </w:pPr>
    </w:p>
    <w:p w14:paraId="505D7316" w14:textId="4F85BBA0" w:rsidR="00B32360" w:rsidRPr="00B32360" w:rsidRDefault="00A728DD" w:rsidP="00B32360">
      <w:pPr>
        <w:jc w:val="both"/>
        <w:rPr>
          <w:rFonts w:eastAsia="Times New Roman" w:cs="Times New Roman"/>
          <w:color w:val="auto"/>
          <w:kern w:val="0"/>
          <w:szCs w:val="24"/>
          <w14:ligatures w14:val="none"/>
        </w:rPr>
      </w:pPr>
      <w:r w:rsidRPr="00A728DD">
        <w:rPr>
          <w:rFonts w:eastAsia="Times New Roman" w:cs="Times New Roman"/>
          <w:color w:val="auto"/>
          <w:kern w:val="0"/>
          <w:szCs w:val="24"/>
          <w14:ligatures w14:val="none"/>
        </w:rPr>
        <w:t xml:space="preserve">Eelnõu ja seletuskiri on keeleliselt </w:t>
      </w:r>
      <w:r w:rsidR="00B32360" w:rsidRPr="00A728DD">
        <w:rPr>
          <w:rFonts w:eastAsia="Times New Roman" w:cs="Times New Roman"/>
          <w:color w:val="auto"/>
          <w:kern w:val="0"/>
          <w:szCs w:val="24"/>
          <w14:ligatures w14:val="none"/>
        </w:rPr>
        <w:t>toimeta</w:t>
      </w:r>
      <w:r w:rsidRPr="00A728DD">
        <w:rPr>
          <w:rFonts w:eastAsia="Times New Roman" w:cs="Times New Roman"/>
          <w:color w:val="auto"/>
          <w:kern w:val="0"/>
          <w:szCs w:val="24"/>
          <w14:ligatures w14:val="none"/>
        </w:rPr>
        <w:t>mata.</w:t>
      </w:r>
    </w:p>
    <w:p w14:paraId="2C1505B5" w14:textId="77777777" w:rsidR="00B32360" w:rsidRPr="00B32360" w:rsidRDefault="00B32360" w:rsidP="00B32360">
      <w:pPr>
        <w:rPr>
          <w:rFonts w:eastAsia="Times New Roman" w:cs="Times New Roman"/>
          <w:color w:val="auto"/>
          <w:kern w:val="0"/>
          <w:szCs w:val="24"/>
          <w14:ligatures w14:val="none"/>
        </w:rPr>
      </w:pPr>
    </w:p>
    <w:p w14:paraId="3D88CE1D" w14:textId="77777777" w:rsidR="00B32360" w:rsidRPr="00B32360" w:rsidRDefault="00B32360" w:rsidP="00B32360">
      <w:pPr>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1.3. Märkused</w:t>
      </w:r>
    </w:p>
    <w:p w14:paraId="445814D0" w14:textId="77777777" w:rsidR="00B32360" w:rsidRPr="00B32360" w:rsidRDefault="00B32360" w:rsidP="00B32360">
      <w:pPr>
        <w:rPr>
          <w:rFonts w:eastAsia="Times New Roman" w:cs="Times New Roman"/>
          <w:b/>
          <w:bCs/>
          <w:color w:val="auto"/>
          <w:kern w:val="0"/>
          <w:szCs w:val="24"/>
          <w14:ligatures w14:val="none"/>
        </w:rPr>
      </w:pPr>
    </w:p>
    <w:p w14:paraId="02234715" w14:textId="5BDA86B5" w:rsidR="00B32360" w:rsidRPr="00B32360" w:rsidRDefault="00B32360" w:rsidP="00B32360">
      <w:pPr>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w:t>
      </w:r>
      <w:r w:rsidR="005A6D2C">
        <w:rPr>
          <w:rFonts w:eastAsia="Times New Roman" w:cs="Times New Roman"/>
          <w:color w:val="auto"/>
          <w:kern w:val="0"/>
          <w:szCs w:val="24"/>
          <w14:ligatures w14:val="none"/>
        </w:rPr>
        <w:t xml:space="preserve"> on välja töötatud ITDS-i muutmise eelnõu rakendamiseks.</w:t>
      </w:r>
    </w:p>
    <w:p w14:paraId="500410A5" w14:textId="61059AB9" w:rsidR="00B32360" w:rsidRPr="00B32360" w:rsidRDefault="00B32360" w:rsidP="00B32360">
      <w:pPr>
        <w:rPr>
          <w:rFonts w:eastAsia="Times New Roman" w:cs="Times New Roman"/>
          <w:color w:val="auto"/>
          <w:kern w:val="0"/>
          <w:szCs w:val="24"/>
          <w14:ligatures w14:val="none"/>
        </w:rPr>
      </w:pPr>
    </w:p>
    <w:p w14:paraId="506CCCC4" w14:textId="77777777" w:rsidR="00B32360" w:rsidRPr="00B32360" w:rsidRDefault="00B32360" w:rsidP="00A728DD">
      <w:pPr>
        <w:keepNext/>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2. Eelnõu sisu ja võrdlev analüüs</w:t>
      </w:r>
    </w:p>
    <w:p w14:paraId="78F85184" w14:textId="77777777" w:rsidR="00B32360" w:rsidRDefault="00B32360" w:rsidP="00A728DD">
      <w:pPr>
        <w:keepNext/>
        <w:rPr>
          <w:rFonts w:eastAsia="Times New Roman" w:cs="Times New Roman"/>
          <w:color w:val="auto"/>
          <w:kern w:val="0"/>
          <w:szCs w:val="24"/>
          <w14:ligatures w14:val="none"/>
        </w:rPr>
      </w:pPr>
    </w:p>
    <w:p w14:paraId="1624D6E6" w14:textId="77777777" w:rsidR="006770BC" w:rsidRDefault="006770BC" w:rsidP="00A728DD">
      <w:pPr>
        <w:keepNext/>
        <w:contextualSpacing/>
        <w:jc w:val="both"/>
      </w:pPr>
      <w:r>
        <w:t>2014. aastal loodud e-</w:t>
      </w:r>
      <w:proofErr w:type="spellStart"/>
      <w:r>
        <w:t>residentsuse</w:t>
      </w:r>
      <w:proofErr w:type="spellEnd"/>
      <w:r>
        <w:t xml:space="preserve"> programmi eesmärk on soodustada Eesti majanduse, teaduse, hariduse ja kultuuri arengut, et võimaldada välismaalastele turvalist ligipääsu Eesti e</w:t>
      </w:r>
      <w:r>
        <w:noBreakHyphen/>
        <w:t>teenustele ning Eesti ja Euroopa Liidu majandusruumile. E-residendil on võimalik oma digi</w:t>
      </w:r>
      <w:r>
        <w:noBreakHyphen/>
        <w:t xml:space="preserve">ID-d kasutada </w:t>
      </w:r>
      <w:r w:rsidRPr="001E4431">
        <w:t>e</w:t>
      </w:r>
      <w:r>
        <w:t>-</w:t>
      </w:r>
      <w:r w:rsidRPr="001E4431">
        <w:t xml:space="preserve">keskkonnas isiku tõendamiseks </w:t>
      </w:r>
      <w:r>
        <w:t>ja digiallkirjastamiseks. Nii saab luua ettevõtte ja kasutada finantsteenuseid. A</w:t>
      </w:r>
      <w:r w:rsidRPr="00AC202C">
        <w:t>lates e-</w:t>
      </w:r>
      <w:proofErr w:type="spellStart"/>
      <w:r w:rsidRPr="00AC202C">
        <w:t>residentsuse</w:t>
      </w:r>
      <w:proofErr w:type="spellEnd"/>
      <w:r w:rsidRPr="00AC202C">
        <w:t xml:space="preserve"> programmi loomisest </w:t>
      </w:r>
      <w:r>
        <w:t>on</w:t>
      </w:r>
      <w:r w:rsidRPr="00AC202C">
        <w:t xml:space="preserve"> e-residendi digi-ID </w:t>
      </w:r>
      <w:r>
        <w:t xml:space="preserve">välja antud </w:t>
      </w:r>
      <w:r w:rsidRPr="00AC202C">
        <w:t>126</w:t>
      </w:r>
      <w:r>
        <w:t xml:space="preserve"> </w:t>
      </w:r>
      <w:r w:rsidRPr="00AC202C">
        <w:t>860</w:t>
      </w:r>
      <w:r>
        <w:t xml:space="preserve"> </w:t>
      </w:r>
      <w:r w:rsidRPr="00AC202C">
        <w:t xml:space="preserve">välismaalasele. Neist kehtiv e-residendi digi-ID on </w:t>
      </w:r>
      <w:r>
        <w:t xml:space="preserve">sama kuupäeva seisuga </w:t>
      </w:r>
      <w:r w:rsidRPr="00AC202C">
        <w:t>61</w:t>
      </w:r>
      <w:r>
        <w:t xml:space="preserve"> </w:t>
      </w:r>
      <w:r w:rsidRPr="00AC202C">
        <w:t>350 e-residendil.</w:t>
      </w:r>
    </w:p>
    <w:p w14:paraId="1E5504FB" w14:textId="77777777" w:rsidR="006770BC" w:rsidRDefault="006770BC" w:rsidP="006770BC">
      <w:pPr>
        <w:jc w:val="both"/>
      </w:pPr>
    </w:p>
    <w:p w14:paraId="3EACD957" w14:textId="69D7389A" w:rsidR="006770BC" w:rsidRPr="00012419" w:rsidRDefault="006770BC" w:rsidP="006770BC">
      <w:pPr>
        <w:jc w:val="both"/>
        <w:rPr>
          <w:rFonts w:eastAsia="Calibri" w:cs="Times New Roman"/>
          <w:color w:val="auto"/>
          <w:kern w:val="0"/>
          <w:szCs w:val="24"/>
          <w14:ligatures w14:val="none"/>
        </w:rPr>
      </w:pPr>
      <w:r w:rsidRPr="00012419">
        <w:t>Eestil ei ole kohustust anda e-residendi digi-ID-d välja. E-residendi digi-ID väljaandmisega annab Eesti välismaalasele õiguse siseneda Eesti infoühiskonda ja kasutada Eesti e-teenuseid. See on ajutine hüve, mille andmise tingimused võivad olenevalt Eesti ja rahvusvahelisest julgeolekuolukorrast ning välispoliitilistest eesmärkidest muutuda. Seega on Eestil pädevus otsustada, kellele ja mis tingimustel e-residendi digi-ID välja antakse, ning mitte kellelgi ei ole subjektiivset õigust seda saada.</w:t>
      </w:r>
    </w:p>
    <w:p w14:paraId="081AB560" w14:textId="77777777" w:rsidR="006770BC" w:rsidRDefault="006770BC" w:rsidP="006770BC">
      <w:pPr>
        <w:contextualSpacing/>
      </w:pPr>
    </w:p>
    <w:p w14:paraId="03ACE464" w14:textId="30182704" w:rsidR="006770BC" w:rsidRDefault="006770BC" w:rsidP="006770BC">
      <w:pPr>
        <w:jc w:val="both"/>
      </w:pPr>
      <w:r>
        <w:t>E-residendi digi-ID väljaandmise riske on hallatud e-</w:t>
      </w:r>
      <w:proofErr w:type="spellStart"/>
      <w:r>
        <w:t>residentsuse</w:t>
      </w:r>
      <w:proofErr w:type="spellEnd"/>
      <w:r>
        <w:t xml:space="preserve"> programmi loomisest alates. See on pidev protsess, mis peab lähtuma muutuvast julgeolekuolukorrast. E-</w:t>
      </w:r>
      <w:proofErr w:type="spellStart"/>
      <w:r>
        <w:t>residentsuse</w:t>
      </w:r>
      <w:proofErr w:type="spellEnd"/>
      <w:r>
        <w:t xml:space="preserve"> programmi riskide maandamise üks peamine eeldus on, et riik teab, kes on Eesti e-residendid, ja et nendeks saaksid ainult õiguskuulekad välismaalased. E-residendi digi-ID taotluse esitamisel peab välismaalane põhjendama oma taotlust, täitma mahuka taotlusankeedi ja esitama lisaandmeid oma tausta kohta. Samuti tehakse talle taustakontroll. </w:t>
      </w:r>
      <w:r w:rsidR="00EB4A69">
        <w:t xml:space="preserve">Politsei- ja Piirivalveamet (edaspidi </w:t>
      </w:r>
      <w:r w:rsidRPr="00EB4A69">
        <w:rPr>
          <w:i/>
          <w:iCs/>
        </w:rPr>
        <w:t>PPA</w:t>
      </w:r>
      <w:r w:rsidR="00EB4A69">
        <w:t>)</w:t>
      </w:r>
      <w:r>
        <w:t xml:space="preserve"> kontrollib e</w:t>
      </w:r>
      <w:r>
        <w:noBreakHyphen/>
        <w:t>residendi digi-ID taotleja isikusamasust, tema seost Eestiga ning seda, kas ta on pannud toime süüteo Eestis või teises riigis ja kas teda kahtlustatakse rahapesus. Samuti teeb PPA muid menetlustoiminguid, lähtudes e-residendi digi-ID taotleja profiilist.</w:t>
      </w:r>
    </w:p>
    <w:p w14:paraId="1AC292DE" w14:textId="77777777" w:rsidR="006770BC" w:rsidRDefault="006770BC" w:rsidP="006770BC">
      <w:pPr>
        <w:jc w:val="both"/>
      </w:pPr>
    </w:p>
    <w:p w14:paraId="2BAFE65A" w14:textId="35890D84" w:rsidR="006770BC" w:rsidRDefault="006770BC" w:rsidP="006770BC">
      <w:pPr>
        <w:jc w:val="both"/>
      </w:pPr>
      <w:r w:rsidRPr="006D7FBE">
        <w:t>Probleemkohaks on endiselt taustakontrolli läbiviimise võimekus kolmandatest riikidest pärit taotlejate osas. Kuna nende riikidega puudub Eestil sageli igasugune justiits-, julgeoleku- või õiguskaitsealane koostöösuhe, ei ole võimalik lõpuni veenduda, kas taotleja puhul ei esine e-</w:t>
      </w:r>
      <w:proofErr w:type="spellStart"/>
      <w:r w:rsidRPr="006D7FBE">
        <w:t>residentsuse</w:t>
      </w:r>
      <w:proofErr w:type="spellEnd"/>
      <w:r w:rsidRPr="006D7FBE">
        <w:t xml:space="preserve"> väljaandmist välistavaid asjaolusid. </w:t>
      </w:r>
      <w:r>
        <w:rPr>
          <w:color w:val="auto"/>
        </w:rPr>
        <w:t>Seetõttu võeti ka e</w:t>
      </w:r>
      <w:r w:rsidRPr="00D03FC4">
        <w:rPr>
          <w:color w:val="auto"/>
        </w:rPr>
        <w:t>-</w:t>
      </w:r>
      <w:proofErr w:type="spellStart"/>
      <w:r w:rsidRPr="00D03FC4">
        <w:rPr>
          <w:color w:val="auto"/>
        </w:rPr>
        <w:t>residentsuse</w:t>
      </w:r>
      <w:proofErr w:type="spellEnd"/>
      <w:r w:rsidRPr="00D03FC4">
        <w:rPr>
          <w:color w:val="auto"/>
        </w:rPr>
        <w:t xml:space="preserve"> jätkustrateegia</w:t>
      </w:r>
      <w:r>
        <w:rPr>
          <w:color w:val="auto"/>
        </w:rPr>
        <w:t>s</w:t>
      </w:r>
      <w:r w:rsidRPr="00D03FC4">
        <w:rPr>
          <w:color w:val="auto"/>
        </w:rPr>
        <w:t xml:space="preserve"> 2022–2025</w:t>
      </w:r>
      <w:r>
        <w:rPr>
          <w:rStyle w:val="FootnoteReference"/>
        </w:rPr>
        <w:footnoteReference w:id="5"/>
      </w:r>
      <w:r>
        <w:t xml:space="preserve"> suund, </w:t>
      </w:r>
      <w:r w:rsidRPr="006D7FBE">
        <w:t>mille kohaselt ei pakuta e-residentsust üldjuhul nende riikide kodanikele, millest tuleneb ulatuslik julgeoleku</w:t>
      </w:r>
      <w:r>
        <w:t>oht</w:t>
      </w:r>
      <w:r w:rsidRPr="006D7FBE">
        <w:t xml:space="preserve"> või e-residendi digi-ID väärkasutuse oht</w:t>
      </w:r>
      <w:r>
        <w:t>. Lisaks on e-</w:t>
      </w:r>
      <w:proofErr w:type="spellStart"/>
      <w:r>
        <w:t>residentsuse</w:t>
      </w:r>
      <w:proofErr w:type="spellEnd"/>
      <w:r>
        <w:t xml:space="preserve"> jätkustrateegia 2022–2025 suuna kohaselt e-residentidena eriti eelistatud taotlejad riikidest, millega on Eestil justiits-, julgeoleku- või õiguskaitsealane koostöö. Riskide maandamise lisavõimekus on toodud vajadusena välja nii rahapesu ja terrorismi rahastamise riiklikus riskihinnangus</w:t>
      </w:r>
      <w:r>
        <w:rPr>
          <w:rStyle w:val="FootnoteReference"/>
        </w:rPr>
        <w:footnoteReference w:id="6"/>
      </w:r>
      <w:r>
        <w:t xml:space="preserve"> kui ka Euroopa Nõukogu rahapesu ja terrorismi rahastamise tõkestamise meetmeid hindava eksperdikomitee (edaspidi </w:t>
      </w:r>
      <w:proofErr w:type="spellStart"/>
      <w:r w:rsidRPr="000248FC">
        <w:rPr>
          <w:i/>
          <w:iCs/>
        </w:rPr>
        <w:t>Moneyval</w:t>
      </w:r>
      <w:proofErr w:type="spellEnd"/>
      <w:r>
        <w:t>) hindamisaruandes</w:t>
      </w:r>
      <w:r>
        <w:rPr>
          <w:rStyle w:val="FootnoteReference"/>
        </w:rPr>
        <w:footnoteReference w:id="7"/>
      </w:r>
      <w:r>
        <w:t>. Kõnesoleva eelnõuga luuakse tugevamad meetmed strateegias toodud suuna rakendamiseks</w:t>
      </w:r>
      <w:r w:rsidRPr="006D7FBE">
        <w:t>.</w:t>
      </w:r>
    </w:p>
    <w:p w14:paraId="193A2669" w14:textId="77777777" w:rsidR="006770BC" w:rsidRPr="00B32360" w:rsidRDefault="006770BC" w:rsidP="006770BC">
      <w:pPr>
        <w:jc w:val="both"/>
        <w:rPr>
          <w:rFonts w:eastAsia="Times New Roman" w:cs="Times New Roman"/>
          <w:color w:val="auto"/>
          <w:kern w:val="0"/>
          <w:szCs w:val="24"/>
          <w14:ligatures w14:val="none"/>
        </w:rPr>
      </w:pPr>
    </w:p>
    <w:p w14:paraId="695C3EBE" w14:textId="07B602A5" w:rsidR="00B32360" w:rsidRDefault="00B32360" w:rsidP="005A6D2C">
      <w:pPr>
        <w:jc w:val="both"/>
        <w:rPr>
          <w:rFonts w:cs="Times New Roman"/>
          <w:szCs w:val="24"/>
          <w:shd w:val="clear" w:color="auto" w:fill="FFFFFF"/>
        </w:rPr>
      </w:pPr>
      <w:r w:rsidRPr="00B32360">
        <w:rPr>
          <w:rFonts w:eastAsia="Times New Roman" w:cs="Times New Roman"/>
          <w:b/>
          <w:bCs/>
          <w:color w:val="auto"/>
          <w:kern w:val="0"/>
          <w:szCs w:val="24"/>
          <w14:ligatures w14:val="none"/>
        </w:rPr>
        <w:t xml:space="preserve">Eelnõu § 1 </w:t>
      </w:r>
      <w:r w:rsidR="005A6D2C" w:rsidRPr="005A6D2C">
        <w:rPr>
          <w:rFonts w:eastAsia="Times New Roman" w:cs="Times New Roman"/>
          <w:color w:val="auto"/>
          <w:kern w:val="0"/>
          <w:szCs w:val="24"/>
          <w14:ligatures w14:val="none"/>
        </w:rPr>
        <w:t>sätestab s</w:t>
      </w:r>
      <w:r w:rsidR="005A6D2C">
        <w:rPr>
          <w:rFonts w:cs="Times New Roman"/>
          <w:szCs w:val="24"/>
          <w:shd w:val="clear" w:color="auto" w:fill="FFFFFF"/>
        </w:rPr>
        <w:t>uurema</w:t>
      </w:r>
      <w:r w:rsidR="005A6D2C" w:rsidRPr="00C97F92">
        <w:rPr>
          <w:rFonts w:cs="Times New Roman"/>
          <w:szCs w:val="24"/>
          <w:shd w:val="clear" w:color="auto" w:fill="FFFFFF"/>
        </w:rPr>
        <w:t xml:space="preserve"> rahapesu</w:t>
      </w:r>
      <w:r w:rsidR="00A728DD">
        <w:rPr>
          <w:rFonts w:cs="Times New Roman"/>
          <w:szCs w:val="24"/>
          <w:shd w:val="clear" w:color="auto" w:fill="FFFFFF"/>
        </w:rPr>
        <w:t>ohuga</w:t>
      </w:r>
      <w:r w:rsidR="005A6D2C" w:rsidRPr="00C97F92">
        <w:rPr>
          <w:rFonts w:cs="Times New Roman"/>
          <w:szCs w:val="24"/>
          <w:shd w:val="clear" w:color="auto" w:fill="FFFFFF"/>
        </w:rPr>
        <w:t xml:space="preserve"> või terrorismi rahastamise </w:t>
      </w:r>
      <w:r w:rsidR="007D501E" w:rsidRPr="009421C1">
        <w:rPr>
          <w:rFonts w:cs="Times New Roman"/>
          <w:szCs w:val="24"/>
          <w:shd w:val="clear" w:color="auto" w:fill="FFFFFF"/>
        </w:rPr>
        <w:t>ohu</w:t>
      </w:r>
      <w:r w:rsidR="005A6D2C" w:rsidRPr="009421C1">
        <w:rPr>
          <w:rFonts w:cs="Times New Roman"/>
          <w:szCs w:val="24"/>
          <w:shd w:val="clear" w:color="auto" w:fill="FFFFFF"/>
        </w:rPr>
        <w:t>ga</w:t>
      </w:r>
      <w:r w:rsidR="005A6D2C" w:rsidRPr="00C97F92">
        <w:rPr>
          <w:rFonts w:cs="Times New Roman"/>
          <w:szCs w:val="24"/>
          <w:shd w:val="clear" w:color="auto" w:fill="FFFFFF"/>
        </w:rPr>
        <w:t xml:space="preserve"> rii</w:t>
      </w:r>
      <w:r w:rsidR="005A6D2C">
        <w:rPr>
          <w:rFonts w:cs="Times New Roman"/>
          <w:szCs w:val="24"/>
          <w:shd w:val="clear" w:color="auto" w:fill="FFFFFF"/>
        </w:rPr>
        <w:t xml:space="preserve">kide </w:t>
      </w:r>
      <w:r w:rsidR="009421C1">
        <w:rPr>
          <w:rFonts w:cs="Times New Roman"/>
          <w:szCs w:val="24"/>
          <w:shd w:val="clear" w:color="auto" w:fill="FFFFFF"/>
        </w:rPr>
        <w:t>ja</w:t>
      </w:r>
      <w:r w:rsidR="005A6D2C" w:rsidRPr="00C97F92">
        <w:rPr>
          <w:rFonts w:cs="Times New Roman"/>
          <w:szCs w:val="24"/>
          <w:shd w:val="clear" w:color="auto" w:fill="FFFFFF"/>
        </w:rPr>
        <w:t xml:space="preserve"> Eesti</w:t>
      </w:r>
      <w:r w:rsidR="005A6D2C">
        <w:rPr>
          <w:rFonts w:cs="Times New Roman"/>
          <w:szCs w:val="24"/>
          <w:shd w:val="clear" w:color="auto" w:fill="FFFFFF"/>
        </w:rPr>
        <w:t>ga</w:t>
      </w:r>
      <w:r w:rsidR="005A6D2C" w:rsidRPr="00C97F92">
        <w:rPr>
          <w:rFonts w:cs="Times New Roman"/>
          <w:szCs w:val="24"/>
          <w:shd w:val="clear" w:color="auto" w:fill="FFFFFF"/>
        </w:rPr>
        <w:t xml:space="preserve"> justiits-, julgeoleku- või õiguskaitseala</w:t>
      </w:r>
      <w:r w:rsidR="005A6D2C">
        <w:rPr>
          <w:rFonts w:cs="Times New Roman"/>
          <w:szCs w:val="24"/>
          <w:shd w:val="clear" w:color="auto" w:fill="FFFFFF"/>
        </w:rPr>
        <w:t>s</w:t>
      </w:r>
      <w:r w:rsidR="005A6D2C" w:rsidRPr="00C97F92">
        <w:rPr>
          <w:rFonts w:cs="Times New Roman"/>
          <w:szCs w:val="24"/>
          <w:shd w:val="clear" w:color="auto" w:fill="FFFFFF"/>
        </w:rPr>
        <w:t>e koostöösuh</w:t>
      </w:r>
      <w:r w:rsidR="005A6D2C">
        <w:rPr>
          <w:rFonts w:cs="Times New Roman"/>
          <w:szCs w:val="24"/>
          <w:shd w:val="clear" w:color="auto" w:fill="FFFFFF"/>
        </w:rPr>
        <w:t>t</w:t>
      </w:r>
      <w:r w:rsidR="005A6D2C" w:rsidRPr="00C97F92">
        <w:rPr>
          <w:rFonts w:cs="Times New Roman"/>
          <w:szCs w:val="24"/>
          <w:shd w:val="clear" w:color="auto" w:fill="FFFFFF"/>
        </w:rPr>
        <w:t>e</w:t>
      </w:r>
      <w:r w:rsidR="005A6D2C">
        <w:rPr>
          <w:rFonts w:cs="Times New Roman"/>
          <w:szCs w:val="24"/>
          <w:shd w:val="clear" w:color="auto" w:fill="FFFFFF"/>
        </w:rPr>
        <w:t xml:space="preserve">ta riikide </w:t>
      </w:r>
      <w:r w:rsidR="009421C1">
        <w:rPr>
          <w:rFonts w:cs="Times New Roman"/>
          <w:szCs w:val="24"/>
          <w:shd w:val="clear" w:color="auto" w:fill="FFFFFF"/>
        </w:rPr>
        <w:t>loetelu</w:t>
      </w:r>
      <w:r w:rsidR="005A6D2C">
        <w:rPr>
          <w:rFonts w:cs="Times New Roman"/>
          <w:szCs w:val="24"/>
          <w:shd w:val="clear" w:color="auto" w:fill="FFFFFF"/>
        </w:rPr>
        <w:t>. Nendeks riikideks on eelnõu kohaselt:</w:t>
      </w:r>
    </w:p>
    <w:p w14:paraId="4372A875" w14:textId="77777777" w:rsidR="009421C1" w:rsidRDefault="009421C1" w:rsidP="005A6D2C">
      <w:pPr>
        <w:jc w:val="both"/>
        <w:rPr>
          <w:rFonts w:cs="Times New Roman"/>
          <w:szCs w:val="24"/>
          <w:shd w:val="clear" w:color="auto" w:fill="FFFFFF"/>
        </w:rPr>
      </w:pPr>
    </w:p>
    <w:p w14:paraId="45EA1EC7" w14:textId="77777777" w:rsidR="00BF33BE" w:rsidRPr="00132631" w:rsidRDefault="00BF33BE" w:rsidP="00BF33BE">
      <w:pPr>
        <w:rPr>
          <w:rFonts w:eastAsia="Aptos" w:cs="Times New Roman"/>
          <w:kern w:val="0"/>
          <w:szCs w:val="24"/>
          <w:shd w:val="clear" w:color="auto" w:fill="FFFFFF"/>
          <w:lang w:eastAsia="et-EE"/>
        </w:rPr>
      </w:pPr>
      <w:bookmarkStart w:id="1" w:name="_Hlk201990240"/>
      <w:r w:rsidRPr="00E25EB8">
        <w:rPr>
          <w:rFonts w:eastAsia="Aptos" w:cs="Times New Roman"/>
          <w:kern w:val="0"/>
          <w:szCs w:val="24"/>
          <w:shd w:val="clear" w:color="auto" w:fill="FFFFFF"/>
          <w:lang w:eastAsia="et-EE"/>
        </w:rPr>
        <w:t xml:space="preserve">1) </w:t>
      </w:r>
      <w:r w:rsidRPr="00132631">
        <w:rPr>
          <w:rFonts w:eastAsia="Aptos" w:cs="Times New Roman"/>
          <w:kern w:val="0"/>
          <w:szCs w:val="24"/>
          <w:shd w:val="clear" w:color="auto" w:fill="FFFFFF"/>
          <w:lang w:eastAsia="et-EE"/>
        </w:rPr>
        <w:t>Afganistan</w:t>
      </w:r>
      <w:r>
        <w:rPr>
          <w:rFonts w:eastAsia="Aptos" w:cs="Times New Roman"/>
          <w:kern w:val="0"/>
          <w:szCs w:val="24"/>
          <w:shd w:val="clear" w:color="auto" w:fill="FFFFFF"/>
          <w:lang w:eastAsia="et-EE"/>
        </w:rPr>
        <w:t xml:space="preserve">i </w:t>
      </w:r>
      <w:r w:rsidRPr="00C97F92">
        <w:rPr>
          <w:rFonts w:cs="Times New Roman"/>
          <w:szCs w:val="24"/>
        </w:rPr>
        <w:t>Islamivabariik</w:t>
      </w:r>
      <w:r>
        <w:rPr>
          <w:rFonts w:eastAsia="Aptos" w:cs="Times New Roman"/>
          <w:kern w:val="0"/>
          <w:szCs w:val="24"/>
          <w:shd w:val="clear" w:color="auto" w:fill="FFFFFF"/>
          <w:lang w:eastAsia="et-EE"/>
        </w:rPr>
        <w:t>;</w:t>
      </w:r>
      <w:r w:rsidRPr="00132631">
        <w:rPr>
          <w:rFonts w:eastAsia="Aptos" w:cs="Times New Roman"/>
          <w:kern w:val="0"/>
          <w:szCs w:val="24"/>
          <w:shd w:val="clear" w:color="auto" w:fill="FFFFFF"/>
          <w:lang w:eastAsia="et-EE"/>
        </w:rPr>
        <w:t xml:space="preserve"> </w:t>
      </w:r>
    </w:p>
    <w:p w14:paraId="41AB86D1" w14:textId="77777777" w:rsidR="00BF33BE" w:rsidRPr="00132631"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 xml:space="preserve">2) </w:t>
      </w:r>
      <w:r w:rsidRPr="00132631">
        <w:rPr>
          <w:rFonts w:eastAsia="Aptos" w:cs="Times New Roman"/>
          <w:kern w:val="0"/>
          <w:szCs w:val="24"/>
          <w:shd w:val="clear" w:color="auto" w:fill="FFFFFF"/>
          <w:lang w:eastAsia="et-EE"/>
        </w:rPr>
        <w:t>Burkina Faso</w:t>
      </w:r>
      <w:r>
        <w:rPr>
          <w:rFonts w:eastAsia="Aptos" w:cs="Times New Roman"/>
          <w:kern w:val="0"/>
          <w:szCs w:val="24"/>
          <w:shd w:val="clear" w:color="auto" w:fill="FFFFFF"/>
          <w:lang w:eastAsia="et-EE"/>
        </w:rPr>
        <w:t>;</w:t>
      </w:r>
    </w:p>
    <w:p w14:paraId="6C5FE78D" w14:textId="77777777" w:rsidR="00BF33BE" w:rsidRPr="00132631"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3)</w:t>
      </w:r>
      <w:r w:rsidRPr="00132631">
        <w:rPr>
          <w:rFonts w:eastAsia="Aptos" w:cs="Times New Roman"/>
          <w:kern w:val="0"/>
          <w:szCs w:val="24"/>
          <w:shd w:val="clear" w:color="auto" w:fill="FFFFFF"/>
          <w:lang w:eastAsia="et-EE"/>
        </w:rPr>
        <w:t xml:space="preserve"> Iraan</w:t>
      </w:r>
      <w:r>
        <w:rPr>
          <w:rFonts w:eastAsia="Aptos" w:cs="Times New Roman"/>
          <w:kern w:val="0"/>
          <w:szCs w:val="24"/>
          <w:shd w:val="clear" w:color="auto" w:fill="FFFFFF"/>
          <w:lang w:eastAsia="et-EE"/>
        </w:rPr>
        <w:t xml:space="preserve">i </w:t>
      </w:r>
      <w:r w:rsidRPr="00C97F92">
        <w:rPr>
          <w:rFonts w:cs="Times New Roman"/>
          <w:szCs w:val="24"/>
        </w:rPr>
        <w:t>Islamivabariik</w:t>
      </w:r>
      <w:r>
        <w:rPr>
          <w:rFonts w:eastAsia="Aptos" w:cs="Times New Roman"/>
          <w:kern w:val="0"/>
          <w:szCs w:val="24"/>
          <w:shd w:val="clear" w:color="auto" w:fill="FFFFFF"/>
          <w:lang w:eastAsia="et-EE"/>
        </w:rPr>
        <w:t>;</w:t>
      </w:r>
      <w:r w:rsidRPr="00132631">
        <w:rPr>
          <w:rFonts w:eastAsia="Aptos" w:cs="Times New Roman"/>
          <w:kern w:val="0"/>
          <w:szCs w:val="24"/>
          <w:shd w:val="clear" w:color="auto" w:fill="FFFFFF"/>
          <w:lang w:eastAsia="et-EE"/>
        </w:rPr>
        <w:t xml:space="preserve"> </w:t>
      </w:r>
    </w:p>
    <w:p w14:paraId="3642EE14" w14:textId="77777777" w:rsidR="00BF33BE"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 xml:space="preserve">4) </w:t>
      </w:r>
      <w:r w:rsidRPr="00132631">
        <w:rPr>
          <w:rFonts w:eastAsia="Aptos" w:cs="Times New Roman"/>
          <w:kern w:val="0"/>
          <w:szCs w:val="24"/>
          <w:shd w:val="clear" w:color="auto" w:fill="FFFFFF"/>
          <w:lang w:eastAsia="et-EE"/>
        </w:rPr>
        <w:t>Jeemen</w:t>
      </w:r>
      <w:r>
        <w:rPr>
          <w:rFonts w:eastAsia="Aptos" w:cs="Times New Roman"/>
          <w:kern w:val="0"/>
          <w:szCs w:val="24"/>
          <w:shd w:val="clear" w:color="auto" w:fill="FFFFFF"/>
          <w:lang w:eastAsia="et-EE"/>
        </w:rPr>
        <w:t>i Vabariik;</w:t>
      </w:r>
    </w:p>
    <w:p w14:paraId="40B457CC" w14:textId="77777777" w:rsidR="00BF33BE" w:rsidRPr="00132631"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 xml:space="preserve">5) </w:t>
      </w:r>
      <w:r w:rsidRPr="00132631">
        <w:rPr>
          <w:rFonts w:eastAsia="Aptos" w:cs="Times New Roman"/>
          <w:kern w:val="0"/>
          <w:szCs w:val="24"/>
          <w:shd w:val="clear" w:color="auto" w:fill="FFFFFF"/>
          <w:lang w:eastAsia="et-EE"/>
        </w:rPr>
        <w:t>Kongo Demokraatlik Vabariik</w:t>
      </w:r>
      <w:r>
        <w:rPr>
          <w:rFonts w:eastAsia="Aptos" w:cs="Times New Roman"/>
          <w:kern w:val="0"/>
          <w:szCs w:val="24"/>
          <w:shd w:val="clear" w:color="auto" w:fill="FFFFFF"/>
          <w:lang w:eastAsia="et-EE"/>
        </w:rPr>
        <w:t>;</w:t>
      </w:r>
    </w:p>
    <w:p w14:paraId="6199017A" w14:textId="77777777" w:rsidR="00BF33BE" w:rsidRPr="00132631"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 xml:space="preserve">6) </w:t>
      </w:r>
      <w:r w:rsidRPr="00132631">
        <w:rPr>
          <w:rFonts w:eastAsia="Aptos" w:cs="Times New Roman"/>
          <w:kern w:val="0"/>
          <w:szCs w:val="24"/>
          <w:shd w:val="clear" w:color="auto" w:fill="FFFFFF"/>
          <w:lang w:eastAsia="et-EE"/>
        </w:rPr>
        <w:t>Korea</w:t>
      </w:r>
      <w:r>
        <w:rPr>
          <w:rFonts w:eastAsia="Aptos" w:cs="Times New Roman"/>
          <w:kern w:val="0"/>
          <w:szCs w:val="24"/>
          <w:shd w:val="clear" w:color="auto" w:fill="FFFFFF"/>
          <w:lang w:eastAsia="et-EE"/>
        </w:rPr>
        <w:t xml:space="preserve"> </w:t>
      </w:r>
      <w:r w:rsidRPr="00C97F92">
        <w:rPr>
          <w:rFonts w:cs="Times New Roman"/>
          <w:szCs w:val="24"/>
        </w:rPr>
        <w:t>Rahvademokraatlik Vabariik</w:t>
      </w:r>
      <w:r>
        <w:rPr>
          <w:rFonts w:eastAsia="Aptos" w:cs="Times New Roman"/>
          <w:kern w:val="0"/>
          <w:szCs w:val="24"/>
          <w:shd w:val="clear" w:color="auto" w:fill="FFFFFF"/>
          <w:lang w:eastAsia="et-EE"/>
        </w:rPr>
        <w:t>;</w:t>
      </w:r>
    </w:p>
    <w:p w14:paraId="45DA9364" w14:textId="77777777" w:rsidR="00BF33BE" w:rsidRPr="00132631"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 xml:space="preserve">7) </w:t>
      </w:r>
      <w:r w:rsidRPr="00132631">
        <w:rPr>
          <w:rFonts w:eastAsia="Aptos" w:cs="Times New Roman"/>
          <w:kern w:val="0"/>
          <w:szCs w:val="24"/>
          <w:shd w:val="clear" w:color="auto" w:fill="FFFFFF"/>
          <w:lang w:eastAsia="et-EE"/>
        </w:rPr>
        <w:t>Lõuna-Sudaan</w:t>
      </w:r>
      <w:r>
        <w:rPr>
          <w:rFonts w:eastAsia="Aptos" w:cs="Times New Roman"/>
          <w:kern w:val="0"/>
          <w:szCs w:val="24"/>
          <w:shd w:val="clear" w:color="auto" w:fill="FFFFFF"/>
          <w:lang w:eastAsia="et-EE"/>
        </w:rPr>
        <w:t>i Vabariik;</w:t>
      </w:r>
    </w:p>
    <w:p w14:paraId="6D5536A5" w14:textId="77777777" w:rsidR="00BF33BE" w:rsidRPr="00132631"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 xml:space="preserve">8) </w:t>
      </w:r>
      <w:r w:rsidRPr="00132631">
        <w:rPr>
          <w:rFonts w:eastAsia="Aptos" w:cs="Times New Roman"/>
          <w:kern w:val="0"/>
          <w:szCs w:val="24"/>
          <w:shd w:val="clear" w:color="auto" w:fill="FFFFFF"/>
          <w:lang w:eastAsia="et-EE"/>
        </w:rPr>
        <w:t>Mali</w:t>
      </w:r>
      <w:r>
        <w:rPr>
          <w:rFonts w:eastAsia="Aptos" w:cs="Times New Roman"/>
          <w:kern w:val="0"/>
          <w:szCs w:val="24"/>
          <w:shd w:val="clear" w:color="auto" w:fill="FFFFFF"/>
          <w:lang w:eastAsia="et-EE"/>
        </w:rPr>
        <w:t xml:space="preserve"> Vabariik;</w:t>
      </w:r>
    </w:p>
    <w:p w14:paraId="791E578B" w14:textId="77777777" w:rsidR="00BF33BE" w:rsidRPr="00132631"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 xml:space="preserve">9) </w:t>
      </w:r>
      <w:r w:rsidRPr="00132631">
        <w:rPr>
          <w:rFonts w:eastAsia="Aptos" w:cs="Times New Roman"/>
          <w:kern w:val="0"/>
          <w:szCs w:val="24"/>
          <w:shd w:val="clear" w:color="auto" w:fill="FFFFFF"/>
          <w:lang w:eastAsia="et-EE"/>
        </w:rPr>
        <w:t>Nigeeria</w:t>
      </w:r>
      <w:r w:rsidRPr="00132631">
        <w:rPr>
          <w:rFonts w:cs="Times New Roman"/>
          <w:szCs w:val="24"/>
        </w:rPr>
        <w:t xml:space="preserve"> </w:t>
      </w:r>
      <w:r w:rsidRPr="00C97F92">
        <w:rPr>
          <w:rFonts w:cs="Times New Roman"/>
          <w:szCs w:val="24"/>
        </w:rPr>
        <w:t>Liitvabariik</w:t>
      </w:r>
      <w:r>
        <w:rPr>
          <w:rFonts w:eastAsia="Aptos" w:cs="Times New Roman"/>
          <w:kern w:val="0"/>
          <w:szCs w:val="24"/>
          <w:shd w:val="clear" w:color="auto" w:fill="FFFFFF"/>
          <w:lang w:eastAsia="et-EE"/>
        </w:rPr>
        <w:t>;</w:t>
      </w:r>
    </w:p>
    <w:p w14:paraId="1C11563A" w14:textId="77777777" w:rsidR="00BF33BE" w:rsidRPr="00132631"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 xml:space="preserve">10) </w:t>
      </w:r>
      <w:r w:rsidRPr="00132631">
        <w:rPr>
          <w:rFonts w:eastAsia="Aptos" w:cs="Times New Roman"/>
          <w:kern w:val="0"/>
          <w:szCs w:val="24"/>
          <w:shd w:val="clear" w:color="auto" w:fill="FFFFFF"/>
          <w:lang w:eastAsia="et-EE"/>
        </w:rPr>
        <w:t>Süüria</w:t>
      </w:r>
      <w:r w:rsidRPr="00132631">
        <w:rPr>
          <w:rFonts w:cs="Times New Roman"/>
          <w:szCs w:val="24"/>
        </w:rPr>
        <w:t xml:space="preserve"> </w:t>
      </w:r>
      <w:r w:rsidRPr="00C97F92">
        <w:rPr>
          <w:rFonts w:cs="Times New Roman"/>
          <w:szCs w:val="24"/>
        </w:rPr>
        <w:t>Araabia Vabariik</w:t>
      </w:r>
      <w:r>
        <w:rPr>
          <w:rFonts w:eastAsia="Aptos" w:cs="Times New Roman"/>
          <w:kern w:val="0"/>
          <w:szCs w:val="24"/>
          <w:shd w:val="clear" w:color="auto" w:fill="FFFFFF"/>
          <w:lang w:eastAsia="et-EE"/>
        </w:rPr>
        <w:t>;</w:t>
      </w:r>
    </w:p>
    <w:p w14:paraId="6025A3BE" w14:textId="77777777" w:rsidR="00BF33BE" w:rsidRPr="00132631" w:rsidRDefault="00BF33BE" w:rsidP="00BF33BE">
      <w:pPr>
        <w:rPr>
          <w:rFonts w:eastAsia="Aptos" w:cs="Times New Roman"/>
          <w:kern w:val="0"/>
          <w:szCs w:val="24"/>
          <w:shd w:val="clear" w:color="auto" w:fill="FFFFFF"/>
          <w:lang w:eastAsia="et-EE"/>
        </w:rPr>
      </w:pPr>
      <w:r>
        <w:rPr>
          <w:rFonts w:eastAsia="Aptos" w:cs="Times New Roman"/>
          <w:kern w:val="0"/>
          <w:szCs w:val="24"/>
          <w:shd w:val="clear" w:color="auto" w:fill="FFFFFF"/>
          <w:lang w:eastAsia="et-EE"/>
        </w:rPr>
        <w:t>11)</w:t>
      </w:r>
      <w:r w:rsidRPr="00132631">
        <w:rPr>
          <w:rFonts w:eastAsia="Aptos" w:cs="Times New Roman"/>
          <w:kern w:val="0"/>
          <w:szCs w:val="24"/>
          <w:shd w:val="clear" w:color="auto" w:fill="FFFFFF"/>
          <w:lang w:eastAsia="et-EE"/>
        </w:rPr>
        <w:t xml:space="preserve"> Valgevene</w:t>
      </w:r>
      <w:r>
        <w:rPr>
          <w:rFonts w:eastAsia="Aptos" w:cs="Times New Roman"/>
          <w:kern w:val="0"/>
          <w:szCs w:val="24"/>
          <w:shd w:val="clear" w:color="auto" w:fill="FFFFFF"/>
          <w:lang w:eastAsia="et-EE"/>
        </w:rPr>
        <w:t xml:space="preserve"> Vabariik;</w:t>
      </w:r>
    </w:p>
    <w:p w14:paraId="1F07A477" w14:textId="77777777" w:rsidR="00BF33BE" w:rsidRPr="00E25EB8" w:rsidRDefault="00BF33BE" w:rsidP="00BF33BE">
      <w:pPr>
        <w:rPr>
          <w:rFonts w:eastAsia="Aptos" w:cs="Times New Roman"/>
          <w:color w:val="auto"/>
          <w:kern w:val="0"/>
          <w:szCs w:val="24"/>
          <w:lang w:eastAsia="et-EE"/>
        </w:rPr>
      </w:pPr>
      <w:r>
        <w:rPr>
          <w:rFonts w:eastAsia="Aptos" w:cs="Times New Roman"/>
          <w:kern w:val="0"/>
          <w:szCs w:val="24"/>
          <w:shd w:val="clear" w:color="auto" w:fill="FFFFFF"/>
          <w:lang w:eastAsia="et-EE"/>
        </w:rPr>
        <w:t xml:space="preserve">12) </w:t>
      </w:r>
      <w:r w:rsidRPr="00132631">
        <w:rPr>
          <w:rFonts w:eastAsia="Aptos" w:cs="Times New Roman"/>
          <w:kern w:val="0"/>
          <w:szCs w:val="24"/>
          <w:shd w:val="clear" w:color="auto" w:fill="FFFFFF"/>
          <w:lang w:eastAsia="et-EE"/>
        </w:rPr>
        <w:t>Venemaa</w:t>
      </w:r>
      <w:r>
        <w:rPr>
          <w:rFonts w:eastAsia="Aptos" w:cs="Times New Roman"/>
          <w:kern w:val="0"/>
          <w:szCs w:val="24"/>
          <w:shd w:val="clear" w:color="auto" w:fill="FFFFFF"/>
          <w:lang w:eastAsia="et-EE"/>
        </w:rPr>
        <w:t xml:space="preserve"> Föderatsioon</w:t>
      </w:r>
      <w:bookmarkEnd w:id="1"/>
      <w:r w:rsidRPr="00E25EB8">
        <w:rPr>
          <w:rFonts w:eastAsia="Aptos" w:cs="Times New Roman"/>
          <w:color w:val="auto"/>
          <w:kern w:val="0"/>
          <w:szCs w:val="24"/>
          <w:lang w:eastAsia="et-EE"/>
        </w:rPr>
        <w:t>.</w:t>
      </w:r>
    </w:p>
    <w:p w14:paraId="18D1FF09" w14:textId="77777777" w:rsidR="005A6D2C" w:rsidRPr="00A728DD" w:rsidRDefault="005A6D2C" w:rsidP="005A6D2C">
      <w:pPr>
        <w:jc w:val="both"/>
        <w:rPr>
          <w:rFonts w:eastAsia="Times New Roman" w:cs="Times New Roman"/>
          <w:color w:val="auto"/>
          <w:kern w:val="0"/>
          <w:szCs w:val="24"/>
          <w14:ligatures w14:val="none"/>
        </w:rPr>
      </w:pPr>
    </w:p>
    <w:p w14:paraId="78F5C881" w14:textId="68613C2C" w:rsidR="005A6D2C" w:rsidRDefault="009421C1" w:rsidP="005A6D2C">
      <w:pPr>
        <w:jc w:val="both"/>
      </w:pPr>
      <w:r>
        <w:t xml:space="preserve">Loetelu aluseks on </w:t>
      </w:r>
      <w:proofErr w:type="spellStart"/>
      <w:r w:rsidRPr="00C90A85">
        <w:t>RAB</w:t>
      </w:r>
      <w:r>
        <w:t>-i</w:t>
      </w:r>
      <w:proofErr w:type="spellEnd"/>
      <w:r>
        <w:t xml:space="preserve"> avaldatud nimekirjas</w:t>
      </w:r>
      <w:r>
        <w:rPr>
          <w:rStyle w:val="FootnoteReference"/>
        </w:rPr>
        <w:footnoteReference w:id="8"/>
      </w:r>
      <w:r>
        <w:t xml:space="preserve"> olevad riigid, mille osas RAB on lähtunud r</w:t>
      </w:r>
      <w:r w:rsidRPr="001C5FCB">
        <w:t>ahapesuvastase töökonna (FATF)</w:t>
      </w:r>
      <w:r w:rsidRPr="001C5FCB">
        <w:rPr>
          <w:rStyle w:val="FootnoteReference"/>
        </w:rPr>
        <w:footnoteReference w:id="9"/>
      </w:r>
      <w:r w:rsidRPr="001C5FCB">
        <w:t xml:space="preserve"> ja Euroopa Liidu</w:t>
      </w:r>
      <w:r w:rsidRPr="001C5FCB">
        <w:rPr>
          <w:rStyle w:val="FootnoteReference"/>
        </w:rPr>
        <w:footnoteReference w:id="10"/>
      </w:r>
      <w:r>
        <w:t xml:space="preserve"> </w:t>
      </w:r>
      <w:r w:rsidRPr="00E65656">
        <w:t>hinnangu</w:t>
      </w:r>
      <w:r>
        <w:t>st</w:t>
      </w:r>
      <w:r w:rsidRPr="001C5FCB">
        <w:t>.</w:t>
      </w:r>
      <w:r>
        <w:t xml:space="preserve"> Lisaks kohaldatakse erisusi, mis võtavad arvesse julgeolekukaalutlusi, Eesti majanduslikke ja välispoliitilisi huve ning </w:t>
      </w:r>
      <w:proofErr w:type="spellStart"/>
      <w:r>
        <w:t>e</w:t>
      </w:r>
      <w:r>
        <w:noBreakHyphen/>
        <w:t>resi</w:t>
      </w:r>
      <w:r>
        <w:softHyphen/>
        <w:t>dentsuse</w:t>
      </w:r>
      <w:proofErr w:type="spellEnd"/>
      <w:r>
        <w:t xml:space="preserve"> programmi eesmärke.</w:t>
      </w:r>
      <w:r w:rsidR="0084358E">
        <w:t xml:space="preserve"> Loetelu on kooskõlastatud julgeolekuasutustega</w:t>
      </w:r>
      <w:r w:rsidR="0084358E" w:rsidRPr="0084358E">
        <w:t xml:space="preserve"> </w:t>
      </w:r>
      <w:r w:rsidR="0084358E">
        <w:t>ja Välisministeeriumiga ning e-</w:t>
      </w:r>
      <w:proofErr w:type="spellStart"/>
      <w:r w:rsidR="0084358E">
        <w:t>residentsuse</w:t>
      </w:r>
      <w:proofErr w:type="spellEnd"/>
      <w:r w:rsidR="0084358E">
        <w:t xml:space="preserve"> programmi teiste seotud osapooltega.</w:t>
      </w:r>
      <w:r w:rsidR="00910608">
        <w:t xml:space="preserve"> Kokku on loetelus toodud riikide kodanikel 23</w:t>
      </w:r>
      <w:r w:rsidR="00910608" w:rsidRPr="0061307E">
        <w:t>.</w:t>
      </w:r>
      <w:r w:rsidR="00910608">
        <w:t>06.2025 seisuga kehtivaid e-residendi digi-ID-sid 3847, mis moodustab 6,3 % kõikidest kehtivatest digi-ID-st.</w:t>
      </w:r>
    </w:p>
    <w:p w14:paraId="09116BFE" w14:textId="77777777" w:rsidR="00CB3EA6" w:rsidRDefault="00CB3EA6" w:rsidP="005A6D2C">
      <w:pPr>
        <w:jc w:val="both"/>
      </w:pPr>
    </w:p>
    <w:p w14:paraId="488DB34F" w14:textId="1D3849CE" w:rsidR="00CB3EA6" w:rsidRDefault="00CB3EA6" w:rsidP="00CB3EA6">
      <w:pPr>
        <w:contextualSpacing/>
        <w:jc w:val="both"/>
      </w:pPr>
      <w:r w:rsidRPr="00ED5FF1">
        <w:rPr>
          <w:b/>
          <w:bCs/>
        </w:rPr>
        <w:t>Tabel 1.</w:t>
      </w:r>
      <w:r>
        <w:t xml:space="preserve"> </w:t>
      </w:r>
      <w:r w:rsidR="00FF5E0E">
        <w:t>K</w:t>
      </w:r>
      <w:r>
        <w:t>ehtivat</w:t>
      </w:r>
      <w:r w:rsidR="00FF5E0E">
        <w:t xml:space="preserve">e </w:t>
      </w:r>
      <w:r>
        <w:t>e-residendi digi-ID-</w:t>
      </w:r>
      <w:r w:rsidR="00FF5E0E">
        <w:t xml:space="preserve">de arv riigiti </w:t>
      </w:r>
      <w:r>
        <w:t>23</w:t>
      </w:r>
      <w:r w:rsidRPr="0061307E">
        <w:t>.</w:t>
      </w:r>
      <w:r w:rsidR="001B5A16">
        <w:t>06.</w:t>
      </w:r>
      <w:r>
        <w:t>2025</w:t>
      </w:r>
      <w:r w:rsidR="001B5A16">
        <w:t xml:space="preserve"> </w:t>
      </w:r>
      <w:r>
        <w:t>seisuga</w:t>
      </w:r>
      <w:r w:rsidR="00123531">
        <w:t>.</w:t>
      </w:r>
    </w:p>
    <w:tbl>
      <w:tblPr>
        <w:tblStyle w:val="TableGrid"/>
        <w:tblW w:w="0" w:type="auto"/>
        <w:tblInd w:w="534" w:type="dxa"/>
        <w:tblLook w:val="04A0" w:firstRow="1" w:lastRow="0" w:firstColumn="1" w:lastColumn="0" w:noHBand="0" w:noVBand="1"/>
      </w:tblPr>
      <w:tblGrid>
        <w:gridCol w:w="4072"/>
        <w:gridCol w:w="1739"/>
      </w:tblGrid>
      <w:tr w:rsidR="00CB3EA6" w14:paraId="3F3E1098" w14:textId="77777777" w:rsidTr="00820F56">
        <w:tc>
          <w:tcPr>
            <w:tcW w:w="4072" w:type="dxa"/>
          </w:tcPr>
          <w:p w14:paraId="405F86C2"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 xml:space="preserve">Afganistani </w:t>
            </w:r>
            <w:r w:rsidRPr="000C764A">
              <w:rPr>
                <w:rFonts w:cs="Times New Roman"/>
                <w:szCs w:val="24"/>
              </w:rPr>
              <w:t>Islamivabariik</w:t>
            </w:r>
          </w:p>
        </w:tc>
        <w:tc>
          <w:tcPr>
            <w:tcW w:w="1739" w:type="dxa"/>
          </w:tcPr>
          <w:p w14:paraId="2BC1A75B" w14:textId="4F140B96" w:rsidR="00CB3EA6" w:rsidRDefault="001B5A16" w:rsidP="00A82327">
            <w:pPr>
              <w:contextualSpacing/>
              <w:jc w:val="both"/>
              <w:rPr>
                <w:rFonts w:eastAsia="Times New Roman"/>
              </w:rPr>
            </w:pPr>
            <w:r>
              <w:rPr>
                <w:rFonts w:eastAsia="Times New Roman"/>
              </w:rPr>
              <w:t>21</w:t>
            </w:r>
          </w:p>
        </w:tc>
      </w:tr>
      <w:tr w:rsidR="00CB3EA6" w14:paraId="4A6C4408" w14:textId="77777777" w:rsidTr="00820F56">
        <w:tc>
          <w:tcPr>
            <w:tcW w:w="4072" w:type="dxa"/>
          </w:tcPr>
          <w:p w14:paraId="4B0F7C72"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Burkina Faso</w:t>
            </w:r>
          </w:p>
        </w:tc>
        <w:tc>
          <w:tcPr>
            <w:tcW w:w="1739" w:type="dxa"/>
          </w:tcPr>
          <w:p w14:paraId="2C260A77" w14:textId="37CABF0C" w:rsidR="00CB3EA6" w:rsidRDefault="001B5A16" w:rsidP="00A82327">
            <w:pPr>
              <w:contextualSpacing/>
              <w:jc w:val="both"/>
              <w:rPr>
                <w:rFonts w:eastAsia="Times New Roman"/>
              </w:rPr>
            </w:pPr>
            <w:r>
              <w:rPr>
                <w:rFonts w:eastAsia="Times New Roman"/>
              </w:rPr>
              <w:t>9</w:t>
            </w:r>
          </w:p>
        </w:tc>
      </w:tr>
      <w:tr w:rsidR="00CB3EA6" w14:paraId="55985DAB" w14:textId="77777777" w:rsidTr="00820F56">
        <w:tc>
          <w:tcPr>
            <w:tcW w:w="4072" w:type="dxa"/>
          </w:tcPr>
          <w:p w14:paraId="367AC7B7"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 xml:space="preserve">Iraani </w:t>
            </w:r>
            <w:r w:rsidRPr="000C764A">
              <w:rPr>
                <w:rFonts w:cs="Times New Roman"/>
                <w:szCs w:val="24"/>
              </w:rPr>
              <w:t>Islamivabariik</w:t>
            </w:r>
          </w:p>
        </w:tc>
        <w:tc>
          <w:tcPr>
            <w:tcW w:w="1739" w:type="dxa"/>
          </w:tcPr>
          <w:p w14:paraId="1F4C8509" w14:textId="73E68793" w:rsidR="00CB3EA6" w:rsidRDefault="001B5A16" w:rsidP="00A82327">
            <w:pPr>
              <w:contextualSpacing/>
              <w:jc w:val="both"/>
              <w:rPr>
                <w:rFonts w:eastAsia="Times New Roman"/>
              </w:rPr>
            </w:pPr>
            <w:r>
              <w:rPr>
                <w:rFonts w:eastAsia="Times New Roman"/>
              </w:rPr>
              <w:t>661</w:t>
            </w:r>
          </w:p>
        </w:tc>
      </w:tr>
      <w:tr w:rsidR="00CB3EA6" w14:paraId="4084F821" w14:textId="77777777" w:rsidTr="00820F56">
        <w:tc>
          <w:tcPr>
            <w:tcW w:w="4072" w:type="dxa"/>
          </w:tcPr>
          <w:p w14:paraId="514E5A30"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Jeemeni Vabariik</w:t>
            </w:r>
          </w:p>
        </w:tc>
        <w:tc>
          <w:tcPr>
            <w:tcW w:w="1739" w:type="dxa"/>
          </w:tcPr>
          <w:p w14:paraId="45E6C0F3" w14:textId="3C3BCEFC" w:rsidR="00CB3EA6" w:rsidRDefault="001B5A16" w:rsidP="00A82327">
            <w:pPr>
              <w:contextualSpacing/>
              <w:jc w:val="both"/>
              <w:rPr>
                <w:rFonts w:eastAsia="Times New Roman"/>
              </w:rPr>
            </w:pPr>
            <w:r>
              <w:rPr>
                <w:rFonts w:eastAsia="Times New Roman"/>
              </w:rPr>
              <w:t>37</w:t>
            </w:r>
          </w:p>
        </w:tc>
      </w:tr>
      <w:tr w:rsidR="00CB3EA6" w14:paraId="41059FBE" w14:textId="77777777" w:rsidTr="00820F56">
        <w:tc>
          <w:tcPr>
            <w:tcW w:w="4072" w:type="dxa"/>
          </w:tcPr>
          <w:p w14:paraId="482FD943"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Kongo Demokraatlik Vabariik</w:t>
            </w:r>
          </w:p>
        </w:tc>
        <w:tc>
          <w:tcPr>
            <w:tcW w:w="1739" w:type="dxa"/>
          </w:tcPr>
          <w:p w14:paraId="6EAEBFEB" w14:textId="47F1DFE3" w:rsidR="00CB3EA6" w:rsidRDefault="001B5A16" w:rsidP="00A82327">
            <w:pPr>
              <w:contextualSpacing/>
              <w:jc w:val="both"/>
              <w:rPr>
                <w:rFonts w:eastAsia="Times New Roman"/>
              </w:rPr>
            </w:pPr>
            <w:r>
              <w:rPr>
                <w:rFonts w:eastAsia="Times New Roman"/>
              </w:rPr>
              <w:t>22</w:t>
            </w:r>
          </w:p>
        </w:tc>
      </w:tr>
      <w:tr w:rsidR="00CB3EA6" w14:paraId="2AC6B677" w14:textId="77777777" w:rsidTr="00820F56">
        <w:tc>
          <w:tcPr>
            <w:tcW w:w="4072" w:type="dxa"/>
          </w:tcPr>
          <w:p w14:paraId="0FCE2227"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 xml:space="preserve">Korea </w:t>
            </w:r>
            <w:r w:rsidRPr="000C764A">
              <w:rPr>
                <w:rFonts w:cs="Times New Roman"/>
                <w:szCs w:val="24"/>
              </w:rPr>
              <w:t>Rahvademokraatlik Vabariik</w:t>
            </w:r>
          </w:p>
        </w:tc>
        <w:tc>
          <w:tcPr>
            <w:tcW w:w="1739" w:type="dxa"/>
          </w:tcPr>
          <w:p w14:paraId="7200FBBF" w14:textId="448EA23B" w:rsidR="00CB3EA6" w:rsidRDefault="001B5A16" w:rsidP="00820F56">
            <w:pPr>
              <w:contextualSpacing/>
              <w:rPr>
                <w:rFonts w:eastAsia="Times New Roman"/>
              </w:rPr>
            </w:pPr>
            <w:r>
              <w:rPr>
                <w:rFonts w:eastAsia="Times New Roman"/>
              </w:rPr>
              <w:t>0</w:t>
            </w:r>
          </w:p>
        </w:tc>
      </w:tr>
      <w:tr w:rsidR="00CB3EA6" w14:paraId="2033C527" w14:textId="77777777" w:rsidTr="00820F56">
        <w:tc>
          <w:tcPr>
            <w:tcW w:w="4072" w:type="dxa"/>
          </w:tcPr>
          <w:p w14:paraId="2452B23F"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Lõuna-Sudaani Vabariik</w:t>
            </w:r>
          </w:p>
        </w:tc>
        <w:tc>
          <w:tcPr>
            <w:tcW w:w="1739" w:type="dxa"/>
          </w:tcPr>
          <w:p w14:paraId="138CEB83" w14:textId="32909B76" w:rsidR="00CB3EA6" w:rsidRDefault="00E02411" w:rsidP="00A82327">
            <w:pPr>
              <w:contextualSpacing/>
              <w:jc w:val="both"/>
              <w:rPr>
                <w:rFonts w:eastAsia="Times New Roman"/>
              </w:rPr>
            </w:pPr>
            <w:r>
              <w:rPr>
                <w:rFonts w:eastAsia="Times New Roman"/>
              </w:rPr>
              <w:t>0</w:t>
            </w:r>
          </w:p>
        </w:tc>
      </w:tr>
      <w:tr w:rsidR="00CB3EA6" w14:paraId="01D7763E" w14:textId="77777777" w:rsidTr="00820F56">
        <w:tc>
          <w:tcPr>
            <w:tcW w:w="4072" w:type="dxa"/>
          </w:tcPr>
          <w:p w14:paraId="7D1F245C"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Mali Vabariik</w:t>
            </w:r>
          </w:p>
        </w:tc>
        <w:tc>
          <w:tcPr>
            <w:tcW w:w="1739" w:type="dxa"/>
          </w:tcPr>
          <w:p w14:paraId="2EC2CA4B" w14:textId="126F507E" w:rsidR="00CB3EA6" w:rsidRDefault="001B5A16" w:rsidP="00A82327">
            <w:pPr>
              <w:contextualSpacing/>
              <w:jc w:val="both"/>
              <w:rPr>
                <w:rFonts w:eastAsia="Times New Roman"/>
              </w:rPr>
            </w:pPr>
            <w:r>
              <w:rPr>
                <w:rFonts w:eastAsia="Times New Roman"/>
              </w:rPr>
              <w:t>8</w:t>
            </w:r>
          </w:p>
        </w:tc>
      </w:tr>
      <w:tr w:rsidR="00CB3EA6" w14:paraId="0DC9F855" w14:textId="77777777" w:rsidTr="00820F56">
        <w:tc>
          <w:tcPr>
            <w:tcW w:w="4072" w:type="dxa"/>
          </w:tcPr>
          <w:p w14:paraId="41DFD794"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Nigeeria</w:t>
            </w:r>
            <w:r w:rsidRPr="000C764A">
              <w:rPr>
                <w:rFonts w:cs="Times New Roman"/>
                <w:szCs w:val="24"/>
              </w:rPr>
              <w:t xml:space="preserve"> Liitvabariik</w:t>
            </w:r>
          </w:p>
        </w:tc>
        <w:tc>
          <w:tcPr>
            <w:tcW w:w="1739" w:type="dxa"/>
          </w:tcPr>
          <w:p w14:paraId="435E254E" w14:textId="495CA8C1" w:rsidR="00CB3EA6" w:rsidRDefault="001B5A16" w:rsidP="00A82327">
            <w:pPr>
              <w:contextualSpacing/>
              <w:jc w:val="both"/>
              <w:rPr>
                <w:rFonts w:eastAsia="Times New Roman"/>
              </w:rPr>
            </w:pPr>
            <w:r>
              <w:rPr>
                <w:rFonts w:eastAsia="Times New Roman"/>
              </w:rPr>
              <w:t>189</w:t>
            </w:r>
          </w:p>
        </w:tc>
      </w:tr>
      <w:tr w:rsidR="00CB3EA6" w14:paraId="0C1D63C7" w14:textId="77777777" w:rsidTr="00820F56">
        <w:tc>
          <w:tcPr>
            <w:tcW w:w="4072" w:type="dxa"/>
          </w:tcPr>
          <w:p w14:paraId="184883F0"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Süüria</w:t>
            </w:r>
            <w:r w:rsidRPr="000C764A">
              <w:rPr>
                <w:rFonts w:cs="Times New Roman"/>
                <w:szCs w:val="24"/>
              </w:rPr>
              <w:t xml:space="preserve"> Araabia Vabariik</w:t>
            </w:r>
          </w:p>
        </w:tc>
        <w:tc>
          <w:tcPr>
            <w:tcW w:w="1739" w:type="dxa"/>
          </w:tcPr>
          <w:p w14:paraId="30FA445D" w14:textId="3B5AD70C" w:rsidR="00CB3EA6" w:rsidRDefault="00E02411" w:rsidP="00A82327">
            <w:pPr>
              <w:contextualSpacing/>
              <w:jc w:val="both"/>
              <w:rPr>
                <w:rFonts w:eastAsia="Times New Roman"/>
              </w:rPr>
            </w:pPr>
            <w:r>
              <w:rPr>
                <w:rFonts w:eastAsia="Times New Roman"/>
              </w:rPr>
              <w:t>9</w:t>
            </w:r>
            <w:r w:rsidR="001B5A16">
              <w:rPr>
                <w:rFonts w:eastAsia="Times New Roman"/>
              </w:rPr>
              <w:t>6</w:t>
            </w:r>
          </w:p>
        </w:tc>
      </w:tr>
      <w:tr w:rsidR="00CB3EA6" w14:paraId="35ED99C6" w14:textId="77777777" w:rsidTr="00820F56">
        <w:tc>
          <w:tcPr>
            <w:tcW w:w="4072" w:type="dxa"/>
          </w:tcPr>
          <w:p w14:paraId="5E89816A"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Valgevene Vabariik</w:t>
            </w:r>
          </w:p>
        </w:tc>
        <w:tc>
          <w:tcPr>
            <w:tcW w:w="1739" w:type="dxa"/>
          </w:tcPr>
          <w:p w14:paraId="5C369B38" w14:textId="5635B29E" w:rsidR="00CB3EA6" w:rsidRDefault="001B5A16" w:rsidP="00A82327">
            <w:pPr>
              <w:contextualSpacing/>
              <w:jc w:val="both"/>
              <w:rPr>
                <w:rFonts w:eastAsia="Times New Roman"/>
              </w:rPr>
            </w:pPr>
            <w:r>
              <w:rPr>
                <w:rFonts w:eastAsia="Times New Roman"/>
              </w:rPr>
              <w:t>485</w:t>
            </w:r>
          </w:p>
        </w:tc>
      </w:tr>
      <w:tr w:rsidR="00CB3EA6" w14:paraId="35EF57A9" w14:textId="77777777" w:rsidTr="00820F56">
        <w:tc>
          <w:tcPr>
            <w:tcW w:w="4072" w:type="dxa"/>
          </w:tcPr>
          <w:p w14:paraId="77310004" w14:textId="77777777" w:rsidR="00CB3EA6" w:rsidRDefault="00CB3EA6" w:rsidP="00A82327">
            <w:pPr>
              <w:contextualSpacing/>
              <w:jc w:val="both"/>
              <w:rPr>
                <w:rFonts w:eastAsia="Times New Roman"/>
              </w:rPr>
            </w:pPr>
            <w:r w:rsidRPr="000C764A">
              <w:rPr>
                <w:rFonts w:eastAsia="Aptos" w:cs="Times New Roman"/>
                <w:kern w:val="0"/>
                <w:szCs w:val="24"/>
                <w:shd w:val="clear" w:color="auto" w:fill="FFFFFF"/>
                <w:lang w:eastAsia="et-EE"/>
              </w:rPr>
              <w:t>Venemaa Föderatsioon</w:t>
            </w:r>
          </w:p>
        </w:tc>
        <w:tc>
          <w:tcPr>
            <w:tcW w:w="1739" w:type="dxa"/>
          </w:tcPr>
          <w:p w14:paraId="2DDA9769" w14:textId="6DB2CE1B" w:rsidR="00CB3EA6" w:rsidRDefault="001B5A16" w:rsidP="00A82327">
            <w:pPr>
              <w:contextualSpacing/>
              <w:jc w:val="both"/>
              <w:rPr>
                <w:rFonts w:eastAsia="Times New Roman"/>
              </w:rPr>
            </w:pPr>
            <w:r>
              <w:rPr>
                <w:rFonts w:eastAsia="Times New Roman"/>
              </w:rPr>
              <w:t>1919</w:t>
            </w:r>
          </w:p>
        </w:tc>
      </w:tr>
      <w:tr w:rsidR="00820F56" w14:paraId="22075FD9" w14:textId="77777777" w:rsidTr="00820F56">
        <w:tc>
          <w:tcPr>
            <w:tcW w:w="4072" w:type="dxa"/>
          </w:tcPr>
          <w:p w14:paraId="6EA34511" w14:textId="71473A0C" w:rsidR="00820F56" w:rsidRPr="00820F56" w:rsidRDefault="00820F56" w:rsidP="00A82327">
            <w:pPr>
              <w:contextualSpacing/>
              <w:jc w:val="both"/>
              <w:rPr>
                <w:rFonts w:eastAsia="Aptos" w:cs="Times New Roman"/>
                <w:b/>
                <w:bCs/>
                <w:kern w:val="0"/>
                <w:szCs w:val="24"/>
                <w:shd w:val="clear" w:color="auto" w:fill="FFFFFF"/>
                <w:lang w:eastAsia="et-EE"/>
              </w:rPr>
            </w:pPr>
            <w:r w:rsidRPr="00820F56">
              <w:rPr>
                <w:rFonts w:eastAsia="Aptos" w:cs="Times New Roman"/>
                <w:b/>
                <w:bCs/>
                <w:kern w:val="0"/>
                <w:szCs w:val="24"/>
                <w:shd w:val="clear" w:color="auto" w:fill="FFFFFF"/>
                <w:lang w:eastAsia="et-EE"/>
              </w:rPr>
              <w:t xml:space="preserve">Kokku </w:t>
            </w:r>
          </w:p>
        </w:tc>
        <w:tc>
          <w:tcPr>
            <w:tcW w:w="1739" w:type="dxa"/>
          </w:tcPr>
          <w:p w14:paraId="089D9FC8" w14:textId="2729ACE2" w:rsidR="00820F56" w:rsidRPr="00820F56" w:rsidRDefault="00820F56" w:rsidP="00820F56">
            <w:pPr>
              <w:contextualSpacing/>
              <w:rPr>
                <w:rFonts w:eastAsia="Times New Roman"/>
                <w:b/>
                <w:bCs/>
              </w:rPr>
            </w:pPr>
            <w:r w:rsidRPr="00820F56">
              <w:rPr>
                <w:rFonts w:eastAsia="Times New Roman"/>
                <w:b/>
                <w:bCs/>
              </w:rPr>
              <w:t>3</w:t>
            </w:r>
            <w:r w:rsidR="008F0DD6">
              <w:rPr>
                <w:rFonts w:eastAsia="Times New Roman"/>
                <w:b/>
                <w:bCs/>
              </w:rPr>
              <w:t>4</w:t>
            </w:r>
            <w:r w:rsidRPr="00820F56">
              <w:rPr>
                <w:rFonts w:eastAsia="Times New Roman"/>
                <w:b/>
                <w:bCs/>
              </w:rPr>
              <w:t>47</w:t>
            </w:r>
          </w:p>
        </w:tc>
      </w:tr>
    </w:tbl>
    <w:p w14:paraId="3A02B0EE" w14:textId="77777777" w:rsidR="00CB3EA6" w:rsidRDefault="00CB3EA6" w:rsidP="00CB3EA6">
      <w:pPr>
        <w:contextualSpacing/>
        <w:rPr>
          <w:sz w:val="20"/>
          <w:szCs w:val="20"/>
        </w:rPr>
      </w:pPr>
      <w:r>
        <w:rPr>
          <w:sz w:val="20"/>
          <w:szCs w:val="20"/>
        </w:rPr>
        <w:t xml:space="preserve">         </w:t>
      </w:r>
      <w:r w:rsidRPr="004B3322">
        <w:rPr>
          <w:sz w:val="20"/>
          <w:szCs w:val="20"/>
        </w:rPr>
        <w:t>Allikas:</w:t>
      </w:r>
      <w:r>
        <w:rPr>
          <w:sz w:val="20"/>
          <w:szCs w:val="20"/>
        </w:rPr>
        <w:t xml:space="preserve"> PPA</w:t>
      </w:r>
    </w:p>
    <w:p w14:paraId="24B812DC" w14:textId="77777777" w:rsidR="009421C1" w:rsidRDefault="009421C1" w:rsidP="005A6D2C">
      <w:pPr>
        <w:jc w:val="both"/>
      </w:pPr>
    </w:p>
    <w:p w14:paraId="41CE4946" w14:textId="33BCB778" w:rsidR="00ED5FF1" w:rsidRPr="00AC202C" w:rsidRDefault="005A6D2C" w:rsidP="009421C1">
      <w:pPr>
        <w:contextualSpacing/>
        <w:jc w:val="both"/>
      </w:pPr>
      <w:r w:rsidRPr="00E62E66">
        <w:t xml:space="preserve">Võrreldes </w:t>
      </w:r>
      <w:proofErr w:type="spellStart"/>
      <w:r w:rsidRPr="00E62E66">
        <w:t>RAB</w:t>
      </w:r>
      <w:r>
        <w:t>-i</w:t>
      </w:r>
      <w:proofErr w:type="spellEnd"/>
      <w:r w:rsidRPr="00E62E66">
        <w:t xml:space="preserve"> </w:t>
      </w:r>
      <w:r>
        <w:t xml:space="preserve">avaldatud </w:t>
      </w:r>
      <w:r w:rsidRPr="00E62E66">
        <w:t>nimekirjaga</w:t>
      </w:r>
      <w:r>
        <w:t xml:space="preserve"> jäetakse </w:t>
      </w:r>
      <w:r w:rsidR="009421C1">
        <w:t>loetelust</w:t>
      </w:r>
      <w:r>
        <w:t xml:space="preserve"> välja Araabia Ühend</w:t>
      </w:r>
      <w:r>
        <w:softHyphen/>
        <w:t xml:space="preserve">emiraadid ning </w:t>
      </w:r>
      <w:r w:rsidR="00A728DD">
        <w:t>sellesse l</w:t>
      </w:r>
      <w:r>
        <w:t>isat</w:t>
      </w:r>
      <w:r w:rsidR="00A728DD">
        <w:t xml:space="preserve">akse </w:t>
      </w:r>
      <w:r>
        <w:t>Venemaa ja Valgevene. Araabia Ühendemiraatide kodanike</w:t>
      </w:r>
      <w:r w:rsidRPr="000255FC">
        <w:t xml:space="preserve"> </w:t>
      </w:r>
      <w:r>
        <w:t>e</w:t>
      </w:r>
      <w:r>
        <w:noBreakHyphen/>
        <w:t>residendi digi-ID taotlust ei jäeta läbi vaatamata nii julgeoleku-, majandus- kui ka välis</w:t>
      </w:r>
      <w:r>
        <w:softHyphen/>
        <w:t>poliitilistel põhjustel.</w:t>
      </w:r>
      <w:r w:rsidR="009421C1">
        <w:t xml:space="preserve"> </w:t>
      </w:r>
      <w:r w:rsidRPr="009421C1">
        <w:t>Araabia Ühendemiraadid</w:t>
      </w:r>
      <w:r>
        <w:t xml:space="preserve"> on Eestile oluline piirkond riiklike ja ärisuhete loomisel </w:t>
      </w:r>
      <w:r w:rsidR="00A728DD">
        <w:t xml:space="preserve">ning </w:t>
      </w:r>
      <w:r>
        <w:t xml:space="preserve">edendamisel </w:t>
      </w:r>
      <w:r w:rsidR="00A728DD">
        <w:t>ja</w:t>
      </w:r>
      <w:r>
        <w:t xml:space="preserve"> Eesti ekspordi arendamisel. </w:t>
      </w:r>
      <w:r w:rsidR="009421C1">
        <w:t xml:space="preserve">2019. aastal avas </w:t>
      </w:r>
      <w:r w:rsidR="009421C1" w:rsidRPr="009421C1">
        <w:t xml:space="preserve">Eesti </w:t>
      </w:r>
      <w:r w:rsidR="009421C1">
        <w:t xml:space="preserve">Araabia Ühendemiraatides ka </w:t>
      </w:r>
      <w:r w:rsidR="009421C1" w:rsidRPr="009421C1">
        <w:t>saatkonn</w:t>
      </w:r>
      <w:r w:rsidR="009421C1">
        <w:t xml:space="preserve">a, mis </w:t>
      </w:r>
      <w:r w:rsidR="009421C1" w:rsidRPr="009421C1">
        <w:t>on andnud olulise tõuke kahepoolsete suhete arengule</w:t>
      </w:r>
      <w:r w:rsidR="009421C1">
        <w:t xml:space="preserve">. </w:t>
      </w:r>
      <w:r>
        <w:t>Araabia Ühendemiraadid olid 2020. aastal Eesti jaoks suuruselt 36. eksporditurg, kus Eesti, sealhulgas e-residentide ettevõtetel</w:t>
      </w:r>
      <w:r w:rsidR="00A728DD">
        <w:t>,</w:t>
      </w:r>
      <w:r>
        <w:t xml:space="preserve"> on suurepärased ärivõimalused, näiteks IT-sektoris. </w:t>
      </w:r>
      <w:r w:rsidR="00CB3EA6">
        <w:t>Araabia Ühendemiraatide e-residente on vähe</w:t>
      </w:r>
      <w:r w:rsidR="00123531">
        <w:t>,</w:t>
      </w:r>
      <w:r w:rsidR="00CB3EA6">
        <w:t xml:space="preserve"> kehtivat</w:t>
      </w:r>
      <w:r w:rsidR="00CB3EA6" w:rsidRPr="009421C1">
        <w:rPr>
          <w:rFonts w:eastAsia="Times New Roman"/>
        </w:rPr>
        <w:t xml:space="preserve"> e-residendi digi-ID-d</w:t>
      </w:r>
      <w:r w:rsidR="00CB3EA6">
        <w:rPr>
          <w:rFonts w:eastAsia="Times New Roman"/>
        </w:rPr>
        <w:t xml:space="preserve"> </w:t>
      </w:r>
      <w:r w:rsidR="00123531">
        <w:rPr>
          <w:rFonts w:eastAsia="Times New Roman"/>
        </w:rPr>
        <w:t xml:space="preserve">omab </w:t>
      </w:r>
      <w:r w:rsidR="001B5A16">
        <w:rPr>
          <w:rFonts w:eastAsia="Times New Roman"/>
        </w:rPr>
        <w:t>9</w:t>
      </w:r>
      <w:r w:rsidR="00CB3EA6">
        <w:rPr>
          <w:rFonts w:eastAsia="Times New Roman"/>
        </w:rPr>
        <w:t xml:space="preserve"> </w:t>
      </w:r>
      <w:r w:rsidR="00CB3EA6">
        <w:t>Araabia Ühendemiraatide kodanikku</w:t>
      </w:r>
      <w:r w:rsidR="00CB3EA6" w:rsidRPr="009421C1">
        <w:rPr>
          <w:rFonts w:eastAsia="Times New Roman"/>
        </w:rPr>
        <w:t>.</w:t>
      </w:r>
    </w:p>
    <w:p w14:paraId="12E000BA" w14:textId="77777777" w:rsidR="00B32360" w:rsidRPr="00B32360" w:rsidRDefault="00B32360" w:rsidP="00B32360">
      <w:pPr>
        <w:rPr>
          <w:rFonts w:eastAsia="Times New Roman" w:cs="Times New Roman"/>
          <w:color w:val="auto"/>
          <w:kern w:val="0"/>
          <w:szCs w:val="24"/>
          <w14:ligatures w14:val="none"/>
        </w:rPr>
      </w:pPr>
    </w:p>
    <w:p w14:paraId="4CC10718" w14:textId="784DB4D7" w:rsidR="005A6D2C" w:rsidRPr="00451949" w:rsidRDefault="005A6D2C" w:rsidP="005A6D2C">
      <w:pPr>
        <w:contextualSpacing/>
        <w:jc w:val="both"/>
        <w:rPr>
          <w:rFonts w:eastAsia="Times New Roman"/>
        </w:rPr>
      </w:pPr>
      <w:r>
        <w:rPr>
          <w:rFonts w:eastAsia="Times New Roman" w:cs="Times New Roman"/>
          <w:b/>
          <w:bCs/>
          <w:color w:val="auto"/>
          <w:kern w:val="0"/>
          <w:szCs w:val="24"/>
          <w14:ligatures w14:val="none"/>
        </w:rPr>
        <w:t xml:space="preserve">Eelnõu § 2 </w:t>
      </w:r>
      <w:r w:rsidR="00EA0C97">
        <w:rPr>
          <w:rFonts w:eastAsia="Times New Roman" w:cs="Times New Roman"/>
          <w:b/>
          <w:bCs/>
          <w:color w:val="auto"/>
          <w:kern w:val="0"/>
          <w:szCs w:val="24"/>
          <w14:ligatures w14:val="none"/>
        </w:rPr>
        <w:t xml:space="preserve">lõikega 1 </w:t>
      </w:r>
      <w:r w:rsidRPr="005A6D2C">
        <w:rPr>
          <w:rFonts w:eastAsia="Times New Roman" w:cs="Times New Roman"/>
          <w:color w:val="auto"/>
          <w:kern w:val="0"/>
          <w:szCs w:val="24"/>
          <w14:ligatures w14:val="none"/>
        </w:rPr>
        <w:t xml:space="preserve">sätestatakse </w:t>
      </w:r>
      <w:r>
        <w:rPr>
          <w:rFonts w:eastAsia="Times New Roman" w:cs="Times New Roman"/>
          <w:color w:val="auto"/>
          <w:kern w:val="0"/>
          <w:szCs w:val="24"/>
          <w14:ligatures w14:val="none"/>
        </w:rPr>
        <w:t>e</w:t>
      </w:r>
      <w:r w:rsidRPr="005A6D2C">
        <w:rPr>
          <w:rFonts w:cs="Times New Roman"/>
          <w:kern w:val="0"/>
          <w:szCs w:val="24"/>
          <w:shd w:val="clear" w:color="auto" w:fill="FFFFFF"/>
        </w:rPr>
        <w:t xml:space="preserve">-residendi </w:t>
      </w:r>
      <w:r w:rsidR="004B04FB" w:rsidRPr="005A6D2C">
        <w:rPr>
          <w:rFonts w:cs="Times New Roman"/>
          <w:kern w:val="0"/>
          <w:szCs w:val="24"/>
          <w:shd w:val="clear" w:color="auto" w:fill="FFFFFF"/>
        </w:rPr>
        <w:t>digi</w:t>
      </w:r>
      <w:r w:rsidR="004B04FB">
        <w:rPr>
          <w:rFonts w:cs="Times New Roman"/>
          <w:kern w:val="0"/>
          <w:szCs w:val="24"/>
          <w:shd w:val="clear" w:color="auto" w:fill="FFFFFF"/>
        </w:rPr>
        <w:t>-ID</w:t>
      </w:r>
      <w:r w:rsidRPr="005A6D2C">
        <w:rPr>
          <w:rFonts w:cs="Times New Roman"/>
          <w:kern w:val="0"/>
          <w:szCs w:val="24"/>
          <w:shd w:val="clear" w:color="auto" w:fill="FFFFFF"/>
        </w:rPr>
        <w:t xml:space="preserve"> taotlemise erisused</w:t>
      </w:r>
      <w:r w:rsidR="00123531">
        <w:rPr>
          <w:rFonts w:cs="Times New Roman"/>
          <w:kern w:val="0"/>
          <w:szCs w:val="24"/>
          <w:shd w:val="clear" w:color="auto" w:fill="FFFFFF"/>
        </w:rPr>
        <w:t xml:space="preserve"> loetelus olevate riikide kodanikele</w:t>
      </w:r>
      <w:r w:rsidRPr="0050436C">
        <w:rPr>
          <w:rFonts w:eastAsia="Times New Roman"/>
        </w:rPr>
        <w:t>,</w:t>
      </w:r>
      <w:r w:rsidR="00EA0C97" w:rsidRPr="00EA0C97">
        <w:t xml:space="preserve"> </w:t>
      </w:r>
      <w:r w:rsidRPr="0050436C">
        <w:rPr>
          <w:rFonts w:eastAsia="Times New Roman"/>
        </w:rPr>
        <w:t xml:space="preserve">kes vastavad vähemalt ühele </w:t>
      </w:r>
      <w:r w:rsidR="00222E5D">
        <w:rPr>
          <w:rFonts w:eastAsia="Times New Roman"/>
        </w:rPr>
        <w:t xml:space="preserve">alltoodud </w:t>
      </w:r>
      <w:r w:rsidRPr="0050436C">
        <w:rPr>
          <w:rFonts w:eastAsia="Times New Roman"/>
        </w:rPr>
        <w:t>tingimustest.</w:t>
      </w:r>
      <w:r w:rsidR="00222E5D">
        <w:rPr>
          <w:rFonts w:eastAsia="Times New Roman"/>
        </w:rPr>
        <w:t xml:space="preserve"> Need erisused ei kohaldu</w:t>
      </w:r>
      <w:r w:rsidR="00222E5D" w:rsidRPr="00222E5D">
        <w:t xml:space="preserve"> </w:t>
      </w:r>
      <w:r w:rsidR="00222E5D" w:rsidRPr="00222E5D">
        <w:rPr>
          <w:rFonts w:eastAsia="Times New Roman"/>
        </w:rPr>
        <w:t>Venemaa ja Valgevene kodanikele</w:t>
      </w:r>
      <w:r w:rsidR="00222E5D">
        <w:rPr>
          <w:rFonts w:eastAsia="Times New Roman"/>
        </w:rPr>
        <w:t>.</w:t>
      </w:r>
    </w:p>
    <w:p w14:paraId="243A08E0" w14:textId="5FFF7EF8" w:rsidR="005A6D2C" w:rsidRPr="00945A26" w:rsidRDefault="005A6D2C" w:rsidP="005A6D2C">
      <w:pPr>
        <w:pStyle w:val="ListParagraph"/>
        <w:numPr>
          <w:ilvl w:val="0"/>
          <w:numId w:val="2"/>
        </w:numPr>
        <w:jc w:val="both"/>
      </w:pPr>
      <w:r>
        <w:rPr>
          <w:rFonts w:eastAsia="Times New Roman"/>
        </w:rPr>
        <w:t>Välismaalane</w:t>
      </w:r>
      <w:r w:rsidRPr="004E4950">
        <w:rPr>
          <w:rFonts w:eastAsia="Times New Roman"/>
        </w:rPr>
        <w:t xml:space="preserve"> on elanud </w:t>
      </w:r>
      <w:r w:rsidRPr="0095528F">
        <w:rPr>
          <w:rFonts w:eastAsia="Times New Roman"/>
        </w:rPr>
        <w:t xml:space="preserve">vahetult enne </w:t>
      </w:r>
      <w:r>
        <w:rPr>
          <w:rFonts w:eastAsia="Times New Roman"/>
        </w:rPr>
        <w:t xml:space="preserve">e-residendi digi-ID </w:t>
      </w:r>
      <w:r w:rsidRPr="0095528F">
        <w:rPr>
          <w:rFonts w:eastAsia="Times New Roman"/>
        </w:rPr>
        <w:t xml:space="preserve">taotluse esitamist vähemalt kolm järjestikust aastat </w:t>
      </w:r>
      <w:r w:rsidR="007D501E" w:rsidRPr="007D501E">
        <w:rPr>
          <w:rFonts w:eastAsia="Times New Roman"/>
          <w:b/>
          <w:bCs/>
        </w:rPr>
        <w:t>Euroopa Majanduspiirkonna lepinguriigis, Ühendkuningriigis või Šveitsi Konföderatsioonis</w:t>
      </w:r>
      <w:r w:rsidR="007D501E">
        <w:rPr>
          <w:rFonts w:eastAsia="Times New Roman"/>
          <w:b/>
          <w:bCs/>
        </w:rPr>
        <w:t xml:space="preserve"> </w:t>
      </w:r>
      <w:r w:rsidRPr="004E4950">
        <w:rPr>
          <w:rFonts w:eastAsia="Times New Roman"/>
        </w:rPr>
        <w:t xml:space="preserve">ja </w:t>
      </w:r>
      <w:r>
        <w:rPr>
          <w:rFonts w:eastAsia="Times New Roman"/>
        </w:rPr>
        <w:t xml:space="preserve">tal </w:t>
      </w:r>
      <w:r w:rsidRPr="004E4950">
        <w:rPr>
          <w:rFonts w:eastAsia="Times New Roman"/>
        </w:rPr>
        <w:t>o</w:t>
      </w:r>
      <w:r>
        <w:rPr>
          <w:rFonts w:eastAsia="Times New Roman"/>
        </w:rPr>
        <w:t>n</w:t>
      </w:r>
      <w:r w:rsidRPr="004E4950">
        <w:rPr>
          <w:rFonts w:eastAsia="Times New Roman"/>
        </w:rPr>
        <w:t xml:space="preserve"> selle riigi kehtiv elamisluba. </w:t>
      </w:r>
      <w:r w:rsidR="007D501E">
        <w:t xml:space="preserve">Nimetatud </w:t>
      </w:r>
      <w:r>
        <w:t>riikide vahel on toimivad koostöösuhted ja andmevahetusmudel, misläbi on Eestil võimalik saada nendest riikidest välismaalase kohta usaldusväärset lisainfot. Neis riikides on kehtestatud ühtsed elamisloakaartide</w:t>
      </w:r>
      <w:r w:rsidRPr="009100C9">
        <w:t xml:space="preserve"> </w:t>
      </w:r>
      <w:r>
        <w:t>standardid, mis võimaldavad menetlejal veenduda välismaalase esitatud andmete ja dokumendi õigsuses. Kolmandates riikides on aga kasutusel erinevad elamisõigust tõendavad alus</w:t>
      </w:r>
      <w:r>
        <w:softHyphen/>
        <w:t>dokumendid, mille õigsuse tuvastamine ei pruugi olla võimalik.</w:t>
      </w:r>
    </w:p>
    <w:p w14:paraId="61733517" w14:textId="593A5338" w:rsidR="005A6D2C" w:rsidRPr="00C71C06" w:rsidRDefault="005A6D2C" w:rsidP="005A6D2C">
      <w:pPr>
        <w:pStyle w:val="ListParagraph"/>
        <w:numPr>
          <w:ilvl w:val="0"/>
          <w:numId w:val="2"/>
        </w:numPr>
        <w:jc w:val="both"/>
        <w:rPr>
          <w:rFonts w:eastAsia="Times New Roman"/>
        </w:rPr>
      </w:pPr>
      <w:r>
        <w:rPr>
          <w:rFonts w:eastAsia="Times New Roman"/>
        </w:rPr>
        <w:t>Välismaalasel</w:t>
      </w:r>
      <w:r w:rsidRPr="00C71C06">
        <w:rPr>
          <w:rFonts w:eastAsia="Times New Roman"/>
        </w:rPr>
        <w:t xml:space="preserve"> on </w:t>
      </w:r>
      <w:r w:rsidRPr="004E4950">
        <w:rPr>
          <w:rFonts w:eastAsia="Times New Roman"/>
          <w:b/>
          <w:bCs/>
        </w:rPr>
        <w:t>Eestis</w:t>
      </w:r>
      <w:r w:rsidRPr="00C71C06">
        <w:rPr>
          <w:rFonts w:eastAsia="Times New Roman"/>
        </w:rPr>
        <w:t xml:space="preserve"> </w:t>
      </w:r>
      <w:r w:rsidRPr="004E4950">
        <w:rPr>
          <w:rFonts w:eastAsia="Times New Roman"/>
          <w:b/>
          <w:bCs/>
        </w:rPr>
        <w:t>püsiv majandustegevus</w:t>
      </w:r>
      <w:r w:rsidRPr="00C71C06">
        <w:rPr>
          <w:rFonts w:eastAsia="Times New Roman"/>
        </w:rPr>
        <w:t>. E-residendi d</w:t>
      </w:r>
      <w:r>
        <w:t xml:space="preserve">igi-ID-d võimaldatakse taotleda </w:t>
      </w:r>
      <w:r w:rsidR="00EA0C97">
        <w:t>juhul, kui ta</w:t>
      </w:r>
      <w:r w:rsidR="00C37ADB">
        <w:t>otleja</w:t>
      </w:r>
      <w:r>
        <w:t xml:space="preserve"> tegeleb tõestatavalt Eestis majandus</w:t>
      </w:r>
      <w:r>
        <w:softHyphen/>
        <w:t>tegevusega, st ta on loonud enne e-residendiks saamist Eestis ettevõtte või tal on ettevõtlus</w:t>
      </w:r>
      <w:r>
        <w:softHyphen/>
        <w:t xml:space="preserve">seos Eesti ettevõtjaga, näiteks juhatuse liikmena. Erisust kohaldatakse juhul, kui ettevõte tegutseb aktiivselt ning selle kohustused Eesti ees on täidetud ja puuduvad võlad. </w:t>
      </w:r>
      <w:r w:rsidRPr="00641035">
        <w:t>Eestil on</w:t>
      </w:r>
      <w:r w:rsidRPr="00E47142">
        <w:t xml:space="preserve"> </w:t>
      </w:r>
      <w:r>
        <w:t>selle</w:t>
      </w:r>
      <w:r w:rsidRPr="00E47142">
        <w:t xml:space="preserve"> siht</w:t>
      </w:r>
      <w:r>
        <w:t>rühma</w:t>
      </w:r>
      <w:r w:rsidRPr="00E47142">
        <w:t xml:space="preserve"> majandustegevuse kohta lisainfot, mida on võimalik kontrollida.</w:t>
      </w:r>
      <w:r>
        <w:t xml:space="preserve"> Kui ette</w:t>
      </w:r>
      <w:r>
        <w:softHyphen/>
        <w:t>võttel on nullkäive ja ettevõtja ei maksa makse, siis erisust ei kohaldata.</w:t>
      </w:r>
    </w:p>
    <w:p w14:paraId="7206A3DE" w14:textId="36BD8C3A" w:rsidR="001C2320" w:rsidRPr="00123531" w:rsidRDefault="005A6D2C" w:rsidP="00123531">
      <w:pPr>
        <w:pStyle w:val="ListParagraph"/>
        <w:numPr>
          <w:ilvl w:val="0"/>
          <w:numId w:val="2"/>
        </w:numPr>
        <w:jc w:val="both"/>
        <w:rPr>
          <w:rFonts w:eastAsia="Times New Roman"/>
        </w:rPr>
      </w:pPr>
      <w:r w:rsidRPr="001C2320">
        <w:rPr>
          <w:rFonts w:eastAsia="Times New Roman"/>
        </w:rPr>
        <w:t xml:space="preserve">Välismaalane esitab </w:t>
      </w:r>
      <w:r w:rsidRPr="001C2320">
        <w:rPr>
          <w:rFonts w:eastAsia="Times New Roman"/>
          <w:b/>
          <w:bCs/>
        </w:rPr>
        <w:t>e-residendi digi-ID korduvtaotluse</w:t>
      </w:r>
      <w:r w:rsidRPr="001C2320">
        <w:rPr>
          <w:rFonts w:eastAsia="Times New Roman"/>
        </w:rPr>
        <w:t xml:space="preserve">. </w:t>
      </w:r>
      <w:r w:rsidR="001C2320" w:rsidRPr="001C2320">
        <w:t>Erisust kohaldatakse juhul, kui e-resident jätkuvalt panustab Eesti majanduse, teaduse, hariduse või kultuuri arengusse</w:t>
      </w:r>
      <w:r w:rsidR="00123531">
        <w:t xml:space="preserve">. </w:t>
      </w:r>
      <w:r w:rsidR="001C2320" w:rsidRPr="001C2320">
        <w:t>Korduvtaotluse menetlemisel on võimalik hinnata e-residendi senist tegevust ja seda, kas ta täidab e-</w:t>
      </w:r>
      <w:proofErr w:type="spellStart"/>
      <w:r w:rsidR="001C2320" w:rsidRPr="001C2320">
        <w:t>residentsuse</w:t>
      </w:r>
      <w:proofErr w:type="spellEnd"/>
      <w:r w:rsidR="001C2320" w:rsidRPr="001C2320">
        <w:t xml:space="preserve"> programmi eesmärki</w:t>
      </w:r>
      <w:r w:rsidR="00EA0C97">
        <w:t xml:space="preserve"> </w:t>
      </w:r>
      <w:r w:rsidR="00F73927">
        <w:t>ning on kasutanud oma digi-ID-d eesmärgipäraselt</w:t>
      </w:r>
      <w:r w:rsidR="001C2320" w:rsidRPr="001C2320">
        <w:t>.</w:t>
      </w:r>
    </w:p>
    <w:p w14:paraId="7C473602" w14:textId="5B46A3B9" w:rsidR="005A6D2C" w:rsidRDefault="005A6D2C" w:rsidP="002E009D">
      <w:pPr>
        <w:pStyle w:val="ListParagraph"/>
        <w:numPr>
          <w:ilvl w:val="0"/>
          <w:numId w:val="2"/>
        </w:numPr>
        <w:jc w:val="both"/>
      </w:pPr>
      <w:r w:rsidRPr="001C2320">
        <w:rPr>
          <w:rFonts w:eastAsia="Times New Roman"/>
        </w:rPr>
        <w:t xml:space="preserve">Välismaalane on </w:t>
      </w:r>
      <w:r w:rsidRPr="001C2320">
        <w:rPr>
          <w:rFonts w:eastAsia="Times New Roman"/>
          <w:b/>
          <w:bCs/>
        </w:rPr>
        <w:t>Eesti välisesinduse töötaja või aukonsul</w:t>
      </w:r>
      <w:r w:rsidRPr="001C2320">
        <w:rPr>
          <w:rFonts w:eastAsia="Times New Roman"/>
        </w:rPr>
        <w:t xml:space="preserve">. </w:t>
      </w:r>
      <w:r w:rsidR="00F73927">
        <w:t>Kui</w:t>
      </w:r>
      <w:r>
        <w:t xml:space="preserve"> </w:t>
      </w:r>
      <w:r w:rsidR="00F73927">
        <w:t xml:space="preserve">Eesti </w:t>
      </w:r>
      <w:r>
        <w:t>välisesinduse töötaja</w:t>
      </w:r>
      <w:r w:rsidR="00F73927">
        <w:t xml:space="preserve"> omab loetelus nimetatud riigi kodakondsust, kuid </w:t>
      </w:r>
      <w:r>
        <w:t xml:space="preserve">vajab oma tööülesannete täitmiseks e-residendi digi-ID-d, </w:t>
      </w:r>
      <w:r w:rsidR="00F73927">
        <w:t>siis on eelnõu kohaselt võimalik talle vastav erand teha</w:t>
      </w:r>
      <w:r>
        <w:t>. Kõik sellised välismaalased läbivad põhjaliku taustakontrolli ja riskide ilmnemise korral saab PPA e-residendi digi-ID taotluse tagastada seda läbi vaatamata.</w:t>
      </w:r>
    </w:p>
    <w:p w14:paraId="52EFE229" w14:textId="77777777" w:rsidR="005A6D2C" w:rsidRDefault="005A6D2C" w:rsidP="005A6D2C">
      <w:pPr>
        <w:contextualSpacing/>
        <w:rPr>
          <w:rFonts w:eastAsia="Times New Roman"/>
        </w:rPr>
      </w:pPr>
    </w:p>
    <w:p w14:paraId="29405871" w14:textId="1DE931D7" w:rsidR="00F73927" w:rsidRDefault="00F73927" w:rsidP="00F73927">
      <w:pPr>
        <w:jc w:val="both"/>
        <w:rPr>
          <w:rFonts w:eastAsia="Aptos" w:cs="Times New Roman"/>
          <w:kern w:val="0"/>
          <w:szCs w:val="24"/>
          <w:shd w:val="clear" w:color="auto" w:fill="FFFFFF"/>
          <w:lang w:eastAsia="et-EE"/>
        </w:rPr>
      </w:pPr>
      <w:r>
        <w:rPr>
          <w:rFonts w:eastAsia="Times New Roman" w:cs="Times New Roman"/>
          <w:b/>
          <w:bCs/>
          <w:color w:val="auto"/>
          <w:kern w:val="0"/>
          <w:szCs w:val="24"/>
          <w14:ligatures w14:val="none"/>
        </w:rPr>
        <w:t xml:space="preserve">Eelnõu § 2 lõikega 2 </w:t>
      </w:r>
      <w:r w:rsidRPr="005A6D2C">
        <w:rPr>
          <w:rFonts w:eastAsia="Times New Roman" w:cs="Times New Roman"/>
          <w:color w:val="auto"/>
          <w:kern w:val="0"/>
          <w:szCs w:val="24"/>
          <w14:ligatures w14:val="none"/>
        </w:rPr>
        <w:t xml:space="preserve">sätestatakse </w:t>
      </w:r>
      <w:r>
        <w:rPr>
          <w:rFonts w:eastAsia="Times New Roman" w:cs="Times New Roman"/>
          <w:color w:val="auto"/>
          <w:kern w:val="0"/>
          <w:szCs w:val="24"/>
          <w14:ligatures w14:val="none"/>
        </w:rPr>
        <w:t>e</w:t>
      </w:r>
      <w:r w:rsidRPr="005A6D2C">
        <w:rPr>
          <w:rFonts w:cs="Times New Roman"/>
          <w:kern w:val="0"/>
          <w:szCs w:val="24"/>
          <w:shd w:val="clear" w:color="auto" w:fill="FFFFFF"/>
        </w:rPr>
        <w:t>-residendi digi</w:t>
      </w:r>
      <w:r>
        <w:rPr>
          <w:rFonts w:cs="Times New Roman"/>
          <w:kern w:val="0"/>
          <w:szCs w:val="24"/>
          <w:shd w:val="clear" w:color="auto" w:fill="FFFFFF"/>
        </w:rPr>
        <w:t>-ID</w:t>
      </w:r>
      <w:r w:rsidRPr="005A6D2C">
        <w:rPr>
          <w:rFonts w:cs="Times New Roman"/>
          <w:kern w:val="0"/>
          <w:szCs w:val="24"/>
          <w:shd w:val="clear" w:color="auto" w:fill="FFFFFF"/>
        </w:rPr>
        <w:t xml:space="preserve"> taotlemise erisused</w:t>
      </w:r>
      <w:r>
        <w:t xml:space="preserve"> </w:t>
      </w:r>
      <w:r w:rsidRPr="001B5A16">
        <w:rPr>
          <w:b/>
          <w:bCs/>
        </w:rPr>
        <w:t>Venemaa ja Valgevene kodanikele</w:t>
      </w:r>
      <w:r>
        <w:t>. Nimetatud rii</w:t>
      </w:r>
      <w:r w:rsidR="00222E5D">
        <w:t>gi</w:t>
      </w:r>
      <w:r>
        <w:t xml:space="preserve"> kodanik</w:t>
      </w:r>
      <w:r w:rsidR="00D03FC4">
        <w:t>u</w:t>
      </w:r>
      <w:r>
        <w:t xml:space="preserve"> </w:t>
      </w:r>
      <w:r w:rsidR="00222E5D">
        <w:t xml:space="preserve">e-residendi </w:t>
      </w:r>
      <w:r>
        <w:t xml:space="preserve">digi-ID </w:t>
      </w:r>
      <w:r w:rsidRPr="00E25EB8">
        <w:rPr>
          <w:rFonts w:eastAsia="Aptos" w:cs="Times New Roman"/>
          <w:kern w:val="0"/>
          <w:szCs w:val="24"/>
          <w:shd w:val="clear" w:color="auto" w:fill="FFFFFF"/>
          <w:lang w:eastAsia="et-EE"/>
        </w:rPr>
        <w:t>taotlust ei tagastata läbi vaatamata</w:t>
      </w:r>
      <w:r>
        <w:rPr>
          <w:rFonts w:eastAsia="Aptos" w:cs="Times New Roman"/>
          <w:kern w:val="0"/>
          <w:szCs w:val="24"/>
          <w:shd w:val="clear" w:color="auto" w:fill="FFFFFF"/>
          <w:lang w:eastAsia="et-EE"/>
        </w:rPr>
        <w:t xml:space="preserve"> vaid juhul</w:t>
      </w:r>
      <w:r w:rsidRPr="00E25EB8">
        <w:rPr>
          <w:rFonts w:eastAsia="Aptos" w:cs="Times New Roman"/>
          <w:kern w:val="0"/>
          <w:szCs w:val="24"/>
          <w:shd w:val="clear" w:color="auto" w:fill="FFFFFF"/>
          <w:lang w:eastAsia="et-EE"/>
        </w:rPr>
        <w:t xml:space="preserve">, kui talle on varem </w:t>
      </w:r>
      <w:r>
        <w:rPr>
          <w:rFonts w:eastAsia="Aptos" w:cs="Times New Roman"/>
          <w:kern w:val="0"/>
          <w:szCs w:val="24"/>
          <w:shd w:val="clear" w:color="auto" w:fill="FFFFFF"/>
          <w:lang w:eastAsia="et-EE"/>
        </w:rPr>
        <w:t xml:space="preserve">e-residendi digi-ID </w:t>
      </w:r>
      <w:r w:rsidRPr="00E25EB8">
        <w:rPr>
          <w:rFonts w:eastAsia="Aptos" w:cs="Times New Roman"/>
          <w:kern w:val="0"/>
          <w:szCs w:val="24"/>
          <w:shd w:val="clear" w:color="auto" w:fill="FFFFFF"/>
          <w:lang w:eastAsia="et-EE"/>
        </w:rPr>
        <w:t xml:space="preserve">välja </w:t>
      </w:r>
      <w:r>
        <w:rPr>
          <w:rFonts w:eastAsia="Aptos" w:cs="Times New Roman"/>
          <w:kern w:val="0"/>
          <w:szCs w:val="24"/>
          <w:shd w:val="clear" w:color="auto" w:fill="FFFFFF"/>
          <w:lang w:eastAsia="et-EE"/>
        </w:rPr>
        <w:t>antud</w:t>
      </w:r>
      <w:r w:rsidRPr="00E25EB8">
        <w:rPr>
          <w:rFonts w:eastAsia="Aptos" w:cs="Times New Roman"/>
          <w:kern w:val="0"/>
          <w:szCs w:val="24"/>
          <w:shd w:val="clear" w:color="auto" w:fill="FFFFFF"/>
          <w:lang w:eastAsia="et-EE"/>
        </w:rPr>
        <w:t xml:space="preserve"> ja tal on Eestis püsiv majandustegevus.</w:t>
      </w:r>
      <w:r>
        <w:rPr>
          <w:rFonts w:eastAsia="Aptos" w:cs="Times New Roman"/>
          <w:kern w:val="0"/>
          <w:szCs w:val="24"/>
          <w:shd w:val="clear" w:color="auto" w:fill="FFFFFF"/>
          <w:lang w:eastAsia="et-EE"/>
        </w:rPr>
        <w:t xml:space="preserve"> Muud lõikes 1 sätestatud erisused nende riikide kodanikele ei kohaldu.</w:t>
      </w:r>
    </w:p>
    <w:p w14:paraId="0FACD9C4" w14:textId="77777777" w:rsidR="001B5A16" w:rsidRDefault="001B5A16" w:rsidP="00F73927">
      <w:pPr>
        <w:jc w:val="both"/>
        <w:rPr>
          <w:rFonts w:eastAsia="Aptos" w:cs="Times New Roman"/>
          <w:kern w:val="0"/>
          <w:szCs w:val="24"/>
          <w:shd w:val="clear" w:color="auto" w:fill="FFFFFF"/>
          <w:lang w:eastAsia="et-EE"/>
        </w:rPr>
      </w:pPr>
    </w:p>
    <w:p w14:paraId="123814F9" w14:textId="0954D66D" w:rsidR="00F73927" w:rsidRDefault="00E80CC2" w:rsidP="00F73927">
      <w:pPr>
        <w:jc w:val="both"/>
        <w:rPr>
          <w:rFonts w:eastAsia="Aptos" w:cs="Times New Roman"/>
          <w:kern w:val="0"/>
          <w:szCs w:val="24"/>
          <w:shd w:val="clear" w:color="auto" w:fill="FFFFFF"/>
          <w:lang w:eastAsia="et-EE"/>
        </w:rPr>
      </w:pPr>
      <w:r w:rsidRPr="00E80CC2">
        <w:rPr>
          <w:rFonts w:eastAsia="Aptos" w:cs="Times New Roman"/>
          <w:kern w:val="0"/>
          <w:szCs w:val="24"/>
          <w:shd w:val="clear" w:color="auto" w:fill="FFFFFF"/>
          <w:lang w:eastAsia="et-EE"/>
        </w:rPr>
        <w:t xml:space="preserve">Seoses täiemahulise sõja puhkemisega Ukrainas </w:t>
      </w:r>
      <w:r w:rsidR="00F73927" w:rsidRPr="00F73927">
        <w:rPr>
          <w:rFonts w:eastAsia="Aptos" w:cs="Times New Roman"/>
          <w:kern w:val="0"/>
          <w:szCs w:val="24"/>
          <w:shd w:val="clear" w:color="auto" w:fill="FFFFFF"/>
          <w:lang w:eastAsia="et-EE"/>
        </w:rPr>
        <w:t xml:space="preserve">ei väljastata </w:t>
      </w:r>
      <w:r>
        <w:rPr>
          <w:rFonts w:eastAsia="Aptos" w:cs="Times New Roman"/>
          <w:kern w:val="0"/>
          <w:szCs w:val="24"/>
          <w:shd w:val="clear" w:color="auto" w:fill="FFFFFF"/>
          <w:lang w:eastAsia="et-EE"/>
        </w:rPr>
        <w:t>alates 8.</w:t>
      </w:r>
      <w:r w:rsidR="00222E5D">
        <w:rPr>
          <w:rFonts w:eastAsia="Aptos" w:cs="Times New Roman"/>
          <w:kern w:val="0"/>
          <w:szCs w:val="24"/>
          <w:shd w:val="clear" w:color="auto" w:fill="FFFFFF"/>
          <w:lang w:eastAsia="et-EE"/>
        </w:rPr>
        <w:t xml:space="preserve"> märtsist </w:t>
      </w:r>
      <w:r w:rsidRPr="00F73927">
        <w:rPr>
          <w:rFonts w:eastAsia="Aptos" w:cs="Times New Roman"/>
          <w:kern w:val="0"/>
          <w:szCs w:val="24"/>
          <w:shd w:val="clear" w:color="auto" w:fill="FFFFFF"/>
          <w:lang w:eastAsia="et-EE"/>
        </w:rPr>
        <w:t xml:space="preserve">2022 </w:t>
      </w:r>
      <w:r w:rsidR="00F73927" w:rsidRPr="00F73927">
        <w:rPr>
          <w:rFonts w:eastAsia="Aptos" w:cs="Times New Roman"/>
          <w:kern w:val="0"/>
          <w:szCs w:val="24"/>
          <w:shd w:val="clear" w:color="auto" w:fill="FFFFFF"/>
          <w:lang w:eastAsia="et-EE"/>
        </w:rPr>
        <w:t>e-reside</w:t>
      </w:r>
      <w:r w:rsidR="00F73927">
        <w:rPr>
          <w:rFonts w:eastAsia="Aptos" w:cs="Times New Roman"/>
          <w:kern w:val="0"/>
          <w:szCs w:val="24"/>
          <w:shd w:val="clear" w:color="auto" w:fill="FFFFFF"/>
          <w:lang w:eastAsia="et-EE"/>
        </w:rPr>
        <w:t>ndi</w:t>
      </w:r>
      <w:r w:rsidR="00F73927" w:rsidRPr="00F73927">
        <w:rPr>
          <w:rFonts w:eastAsia="Aptos" w:cs="Times New Roman"/>
          <w:kern w:val="0"/>
          <w:szCs w:val="24"/>
          <w:shd w:val="clear" w:color="auto" w:fill="FFFFFF"/>
          <w:lang w:eastAsia="et-EE"/>
        </w:rPr>
        <w:t xml:space="preserve"> digi-ID-sid </w:t>
      </w:r>
      <w:r w:rsidR="001B5A16">
        <w:rPr>
          <w:rFonts w:eastAsia="Aptos" w:cs="Times New Roman"/>
          <w:kern w:val="0"/>
          <w:szCs w:val="24"/>
          <w:shd w:val="clear" w:color="auto" w:fill="FFFFFF"/>
          <w:lang w:eastAsia="et-EE"/>
        </w:rPr>
        <w:t xml:space="preserve">neile </w:t>
      </w:r>
      <w:r w:rsidR="00F73927" w:rsidRPr="00F73927">
        <w:rPr>
          <w:rFonts w:eastAsia="Aptos" w:cs="Times New Roman"/>
          <w:kern w:val="0"/>
          <w:szCs w:val="24"/>
          <w:shd w:val="clear" w:color="auto" w:fill="FFFFFF"/>
          <w:lang w:eastAsia="et-EE"/>
        </w:rPr>
        <w:t>Venemaa ja Valgevene kodanikele</w:t>
      </w:r>
      <w:r w:rsidR="00F73927">
        <w:rPr>
          <w:rFonts w:eastAsia="Aptos" w:cs="Times New Roman"/>
          <w:kern w:val="0"/>
          <w:szCs w:val="24"/>
          <w:shd w:val="clear" w:color="auto" w:fill="FFFFFF"/>
          <w:lang w:eastAsia="et-EE"/>
        </w:rPr>
        <w:t>, ke</w:t>
      </w:r>
      <w:r w:rsidR="001B5A16">
        <w:rPr>
          <w:rFonts w:eastAsia="Aptos" w:cs="Times New Roman"/>
          <w:kern w:val="0"/>
          <w:szCs w:val="24"/>
          <w:shd w:val="clear" w:color="auto" w:fill="FFFFFF"/>
          <w:lang w:eastAsia="et-EE"/>
        </w:rPr>
        <w:t>s</w:t>
      </w:r>
      <w:r w:rsidR="00F73927">
        <w:rPr>
          <w:rFonts w:eastAsia="Aptos" w:cs="Times New Roman"/>
          <w:kern w:val="0"/>
          <w:szCs w:val="24"/>
          <w:shd w:val="clear" w:color="auto" w:fill="FFFFFF"/>
          <w:lang w:eastAsia="et-EE"/>
        </w:rPr>
        <w:t xml:space="preserve"> ei ole varem digi-ID-d </w:t>
      </w:r>
      <w:r w:rsidR="001B5A16">
        <w:rPr>
          <w:rFonts w:eastAsia="Aptos" w:cs="Times New Roman"/>
          <w:kern w:val="0"/>
          <w:szCs w:val="24"/>
          <w:shd w:val="clear" w:color="auto" w:fill="FFFFFF"/>
          <w:lang w:eastAsia="et-EE"/>
        </w:rPr>
        <w:t>omanud</w:t>
      </w:r>
      <w:r w:rsidR="00F73927" w:rsidRPr="00F73927">
        <w:rPr>
          <w:rFonts w:eastAsia="Aptos" w:cs="Times New Roman"/>
          <w:kern w:val="0"/>
          <w:szCs w:val="24"/>
          <w:shd w:val="clear" w:color="auto" w:fill="FFFFFF"/>
          <w:lang w:eastAsia="et-EE"/>
        </w:rPr>
        <w:t>. Vene</w:t>
      </w:r>
      <w:r w:rsidR="00F73927">
        <w:rPr>
          <w:rFonts w:eastAsia="Aptos" w:cs="Times New Roman"/>
          <w:kern w:val="0"/>
          <w:szCs w:val="24"/>
          <w:shd w:val="clear" w:color="auto" w:fill="FFFFFF"/>
          <w:lang w:eastAsia="et-EE"/>
        </w:rPr>
        <w:t>maa</w:t>
      </w:r>
      <w:r w:rsidR="00F73927" w:rsidRPr="00F73927">
        <w:rPr>
          <w:rFonts w:eastAsia="Aptos" w:cs="Times New Roman"/>
          <w:kern w:val="0"/>
          <w:szCs w:val="24"/>
          <w:shd w:val="clear" w:color="auto" w:fill="FFFFFF"/>
          <w:lang w:eastAsia="et-EE"/>
        </w:rPr>
        <w:t xml:space="preserve"> ja Valgevene kodanikud moodusta</w:t>
      </w:r>
      <w:r w:rsidR="00F73927">
        <w:rPr>
          <w:rFonts w:eastAsia="Aptos" w:cs="Times New Roman"/>
          <w:kern w:val="0"/>
          <w:szCs w:val="24"/>
          <w:shd w:val="clear" w:color="auto" w:fill="FFFFFF"/>
          <w:lang w:eastAsia="et-EE"/>
        </w:rPr>
        <w:t>vad</w:t>
      </w:r>
      <w:r w:rsidR="00F73927" w:rsidRPr="00F73927">
        <w:rPr>
          <w:rFonts w:eastAsia="Aptos" w:cs="Times New Roman"/>
          <w:kern w:val="0"/>
          <w:szCs w:val="24"/>
          <w:shd w:val="clear" w:color="auto" w:fill="FFFFFF"/>
          <w:lang w:eastAsia="et-EE"/>
        </w:rPr>
        <w:t xml:space="preserve"> </w:t>
      </w:r>
      <w:r w:rsidR="00945FC0">
        <w:rPr>
          <w:rFonts w:eastAsia="Aptos" w:cs="Times New Roman"/>
          <w:kern w:val="0"/>
          <w:szCs w:val="24"/>
          <w:shd w:val="clear" w:color="auto" w:fill="FFFFFF"/>
          <w:lang w:eastAsia="et-EE"/>
        </w:rPr>
        <w:t>23</w:t>
      </w:r>
      <w:r w:rsidR="00F73927" w:rsidRPr="00F73927">
        <w:rPr>
          <w:rFonts w:eastAsia="Aptos" w:cs="Times New Roman"/>
          <w:kern w:val="0"/>
          <w:szCs w:val="24"/>
          <w:shd w:val="clear" w:color="auto" w:fill="FFFFFF"/>
          <w:lang w:eastAsia="et-EE"/>
        </w:rPr>
        <w:t>.</w:t>
      </w:r>
      <w:r w:rsidR="00222E5D">
        <w:rPr>
          <w:rFonts w:eastAsia="Aptos" w:cs="Times New Roman"/>
          <w:kern w:val="0"/>
          <w:szCs w:val="24"/>
          <w:shd w:val="clear" w:color="auto" w:fill="FFFFFF"/>
          <w:lang w:eastAsia="et-EE"/>
        </w:rPr>
        <w:t xml:space="preserve"> juuni </w:t>
      </w:r>
      <w:r w:rsidR="00F73927" w:rsidRPr="00F73927">
        <w:rPr>
          <w:rFonts w:eastAsia="Aptos" w:cs="Times New Roman"/>
          <w:kern w:val="0"/>
          <w:szCs w:val="24"/>
          <w:shd w:val="clear" w:color="auto" w:fill="FFFFFF"/>
          <w:lang w:eastAsia="et-EE"/>
        </w:rPr>
        <w:t>2025 seisuga 3</w:t>
      </w:r>
      <w:r w:rsidR="00945FC0">
        <w:rPr>
          <w:rFonts w:eastAsia="Aptos" w:cs="Times New Roman"/>
          <w:kern w:val="0"/>
          <w:szCs w:val="24"/>
          <w:shd w:val="clear" w:color="auto" w:fill="FFFFFF"/>
          <w:lang w:eastAsia="et-EE"/>
        </w:rPr>
        <w:t>,9</w:t>
      </w:r>
      <w:r w:rsidR="00F73927" w:rsidRPr="00F73927">
        <w:rPr>
          <w:rFonts w:eastAsia="Aptos" w:cs="Times New Roman"/>
          <w:kern w:val="0"/>
          <w:szCs w:val="24"/>
          <w:shd w:val="clear" w:color="auto" w:fill="FFFFFF"/>
          <w:lang w:eastAsia="et-EE"/>
        </w:rPr>
        <w:t>% kehtivatest e-residendi digi-ID-d</w:t>
      </w:r>
      <w:r w:rsidR="00F73927">
        <w:rPr>
          <w:rFonts w:eastAsia="Aptos" w:cs="Times New Roman"/>
          <w:kern w:val="0"/>
          <w:szCs w:val="24"/>
          <w:shd w:val="clear" w:color="auto" w:fill="FFFFFF"/>
          <w:lang w:eastAsia="et-EE"/>
        </w:rPr>
        <w:t xml:space="preserve"> </w:t>
      </w:r>
      <w:r w:rsidR="001B5A16">
        <w:rPr>
          <w:rFonts w:eastAsia="Aptos" w:cs="Times New Roman"/>
          <w:kern w:val="0"/>
          <w:szCs w:val="24"/>
          <w:shd w:val="clear" w:color="auto" w:fill="FFFFFF"/>
          <w:lang w:eastAsia="et-EE"/>
        </w:rPr>
        <w:t>o</w:t>
      </w:r>
      <w:r w:rsidR="00F73927">
        <w:rPr>
          <w:rFonts w:eastAsia="Aptos" w:cs="Times New Roman"/>
          <w:kern w:val="0"/>
          <w:szCs w:val="24"/>
          <w:shd w:val="clear" w:color="auto" w:fill="FFFFFF"/>
          <w:lang w:eastAsia="et-EE"/>
        </w:rPr>
        <w:t>m</w:t>
      </w:r>
      <w:r w:rsidR="001B5A16">
        <w:rPr>
          <w:rFonts w:eastAsia="Aptos" w:cs="Times New Roman"/>
          <w:kern w:val="0"/>
          <w:szCs w:val="24"/>
          <w:shd w:val="clear" w:color="auto" w:fill="FFFFFF"/>
          <w:lang w:eastAsia="et-EE"/>
        </w:rPr>
        <w:t>a</w:t>
      </w:r>
      <w:r w:rsidR="00F73927">
        <w:rPr>
          <w:rFonts w:eastAsia="Aptos" w:cs="Times New Roman"/>
          <w:kern w:val="0"/>
          <w:szCs w:val="24"/>
          <w:shd w:val="clear" w:color="auto" w:fill="FFFFFF"/>
          <w:lang w:eastAsia="et-EE"/>
        </w:rPr>
        <w:t>vatest e-residentides</w:t>
      </w:r>
      <w:r w:rsidR="001B5A16">
        <w:rPr>
          <w:rFonts w:eastAsia="Aptos" w:cs="Times New Roman"/>
          <w:kern w:val="0"/>
          <w:szCs w:val="24"/>
          <w:shd w:val="clear" w:color="auto" w:fill="FFFFFF"/>
          <w:lang w:eastAsia="et-EE"/>
        </w:rPr>
        <w:t>t</w:t>
      </w:r>
      <w:r w:rsidR="00F73927" w:rsidRPr="00F73927">
        <w:rPr>
          <w:rFonts w:eastAsia="Aptos" w:cs="Times New Roman"/>
          <w:kern w:val="0"/>
          <w:szCs w:val="24"/>
          <w:shd w:val="clear" w:color="auto" w:fill="FFFFFF"/>
          <w:lang w:eastAsia="et-EE"/>
        </w:rPr>
        <w:t xml:space="preserve">. </w:t>
      </w:r>
      <w:r w:rsidR="001B5A16">
        <w:rPr>
          <w:rFonts w:eastAsia="Aptos" w:cs="Times New Roman"/>
          <w:kern w:val="0"/>
          <w:szCs w:val="24"/>
          <w:shd w:val="clear" w:color="auto" w:fill="FFFFFF"/>
          <w:lang w:eastAsia="et-EE"/>
        </w:rPr>
        <w:t>M</w:t>
      </w:r>
      <w:r w:rsidR="00F73927" w:rsidRPr="00F73927">
        <w:rPr>
          <w:rFonts w:eastAsia="Aptos" w:cs="Times New Roman"/>
          <w:kern w:val="0"/>
          <w:szCs w:val="24"/>
          <w:shd w:val="clear" w:color="auto" w:fill="FFFFFF"/>
          <w:lang w:eastAsia="et-EE"/>
        </w:rPr>
        <w:t>ärtsis 2022</w:t>
      </w:r>
      <w:r w:rsidR="001B5A16">
        <w:rPr>
          <w:rFonts w:eastAsia="Aptos" w:cs="Times New Roman"/>
          <w:kern w:val="0"/>
          <w:szCs w:val="24"/>
          <w:shd w:val="clear" w:color="auto" w:fill="FFFFFF"/>
          <w:lang w:eastAsia="et-EE"/>
        </w:rPr>
        <w:t xml:space="preserve"> </w:t>
      </w:r>
      <w:r w:rsidR="00F73927" w:rsidRPr="00F73927">
        <w:rPr>
          <w:rFonts w:eastAsia="Aptos" w:cs="Times New Roman"/>
          <w:kern w:val="0"/>
          <w:szCs w:val="24"/>
          <w:shd w:val="clear" w:color="auto" w:fill="FFFFFF"/>
          <w:lang w:eastAsia="et-EE"/>
        </w:rPr>
        <w:t xml:space="preserve">oli </w:t>
      </w:r>
      <w:r w:rsidR="001B5A16">
        <w:rPr>
          <w:rFonts w:eastAsia="Aptos" w:cs="Times New Roman"/>
          <w:kern w:val="0"/>
          <w:szCs w:val="24"/>
          <w:shd w:val="clear" w:color="auto" w:fill="FFFFFF"/>
          <w:lang w:eastAsia="et-EE"/>
        </w:rPr>
        <w:t xml:space="preserve">vastav </w:t>
      </w:r>
      <w:r w:rsidR="00F73927" w:rsidRPr="00F73927">
        <w:rPr>
          <w:rFonts w:eastAsia="Aptos" w:cs="Times New Roman"/>
          <w:kern w:val="0"/>
          <w:szCs w:val="24"/>
          <w:shd w:val="clear" w:color="auto" w:fill="FFFFFF"/>
          <w:lang w:eastAsia="et-EE"/>
        </w:rPr>
        <w:t>osakaal 9%. Vene</w:t>
      </w:r>
      <w:r w:rsidR="001B5A16">
        <w:rPr>
          <w:rFonts w:eastAsia="Aptos" w:cs="Times New Roman"/>
          <w:kern w:val="0"/>
          <w:szCs w:val="24"/>
          <w:shd w:val="clear" w:color="auto" w:fill="FFFFFF"/>
          <w:lang w:eastAsia="et-EE"/>
        </w:rPr>
        <w:t>maa</w:t>
      </w:r>
      <w:r w:rsidR="00F73927" w:rsidRPr="00F73927">
        <w:rPr>
          <w:rFonts w:eastAsia="Aptos" w:cs="Times New Roman"/>
          <w:kern w:val="0"/>
          <w:szCs w:val="24"/>
          <w:shd w:val="clear" w:color="auto" w:fill="FFFFFF"/>
          <w:lang w:eastAsia="et-EE"/>
        </w:rPr>
        <w:t xml:space="preserve"> ja Valgevene kodanikest </w:t>
      </w:r>
      <w:r w:rsidR="001B5A16">
        <w:rPr>
          <w:rFonts w:eastAsia="Aptos" w:cs="Times New Roman"/>
          <w:kern w:val="0"/>
          <w:szCs w:val="24"/>
          <w:shd w:val="clear" w:color="auto" w:fill="FFFFFF"/>
          <w:lang w:eastAsia="et-EE"/>
        </w:rPr>
        <w:t xml:space="preserve">e-residendi digi-ID </w:t>
      </w:r>
      <w:r w:rsidR="00F73927" w:rsidRPr="00F73927">
        <w:rPr>
          <w:rFonts w:eastAsia="Aptos" w:cs="Times New Roman"/>
          <w:kern w:val="0"/>
          <w:szCs w:val="24"/>
          <w:shd w:val="clear" w:color="auto" w:fill="FFFFFF"/>
          <w:lang w:eastAsia="et-EE"/>
        </w:rPr>
        <w:t>taotleja</w:t>
      </w:r>
      <w:r w:rsidR="001B5A16">
        <w:rPr>
          <w:rFonts w:eastAsia="Aptos" w:cs="Times New Roman"/>
          <w:kern w:val="0"/>
          <w:szCs w:val="24"/>
          <w:shd w:val="clear" w:color="auto" w:fill="FFFFFF"/>
          <w:lang w:eastAsia="et-EE"/>
        </w:rPr>
        <w:t xml:space="preserve">d läbivad juba </w:t>
      </w:r>
      <w:r w:rsidR="00222E5D">
        <w:rPr>
          <w:rFonts w:eastAsia="Aptos" w:cs="Times New Roman"/>
          <w:kern w:val="0"/>
          <w:szCs w:val="24"/>
          <w:shd w:val="clear" w:color="auto" w:fill="FFFFFF"/>
          <w:lang w:eastAsia="et-EE"/>
        </w:rPr>
        <w:t xml:space="preserve">praegu </w:t>
      </w:r>
      <w:r w:rsidR="001B5A16">
        <w:rPr>
          <w:rFonts w:eastAsia="Aptos" w:cs="Times New Roman"/>
          <w:kern w:val="0"/>
          <w:szCs w:val="24"/>
          <w:shd w:val="clear" w:color="auto" w:fill="FFFFFF"/>
          <w:lang w:eastAsia="et-EE"/>
        </w:rPr>
        <w:t>rangema taustakontrolli ja</w:t>
      </w:r>
      <w:r w:rsidR="00F73927" w:rsidRPr="00F73927">
        <w:rPr>
          <w:rFonts w:eastAsia="Aptos" w:cs="Times New Roman"/>
          <w:kern w:val="0"/>
          <w:szCs w:val="24"/>
          <w:shd w:val="clear" w:color="auto" w:fill="FFFFFF"/>
          <w:lang w:eastAsia="et-EE"/>
        </w:rPr>
        <w:t xml:space="preserve"> 70% </w:t>
      </w:r>
      <w:r w:rsidR="001B5A16">
        <w:rPr>
          <w:rFonts w:eastAsia="Aptos" w:cs="Times New Roman"/>
          <w:kern w:val="0"/>
          <w:szCs w:val="24"/>
          <w:shd w:val="clear" w:color="auto" w:fill="FFFFFF"/>
          <w:lang w:eastAsia="et-EE"/>
        </w:rPr>
        <w:t xml:space="preserve">taotlejate osas teeb PPA </w:t>
      </w:r>
      <w:r w:rsidR="00F73927" w:rsidRPr="00F73927">
        <w:rPr>
          <w:rFonts w:eastAsia="Aptos" w:cs="Times New Roman"/>
          <w:kern w:val="0"/>
          <w:szCs w:val="24"/>
          <w:shd w:val="clear" w:color="auto" w:fill="FFFFFF"/>
          <w:lang w:eastAsia="et-EE"/>
        </w:rPr>
        <w:t xml:space="preserve">keelduva otsuse, mistõttu </w:t>
      </w:r>
      <w:r w:rsidR="00222E5D">
        <w:rPr>
          <w:rFonts w:eastAsia="Aptos" w:cs="Times New Roman"/>
          <w:kern w:val="0"/>
          <w:szCs w:val="24"/>
          <w:shd w:val="clear" w:color="auto" w:fill="FFFFFF"/>
          <w:lang w:eastAsia="et-EE"/>
        </w:rPr>
        <w:t xml:space="preserve">nende </w:t>
      </w:r>
      <w:r w:rsidR="001B5A16">
        <w:rPr>
          <w:rFonts w:eastAsia="Aptos" w:cs="Times New Roman"/>
          <w:kern w:val="0"/>
          <w:szCs w:val="24"/>
          <w:shd w:val="clear" w:color="auto" w:fill="FFFFFF"/>
          <w:lang w:eastAsia="et-EE"/>
        </w:rPr>
        <w:t>osakaal väheneb ajas pidevalt</w:t>
      </w:r>
      <w:r w:rsidR="00BE769B">
        <w:rPr>
          <w:rFonts w:eastAsia="Aptos" w:cs="Times New Roman"/>
          <w:kern w:val="0"/>
          <w:szCs w:val="24"/>
          <w:shd w:val="clear" w:color="auto" w:fill="FFFFFF"/>
          <w:lang w:eastAsia="et-EE"/>
        </w:rPr>
        <w:t xml:space="preserve">. </w:t>
      </w:r>
      <w:r w:rsidR="00D03FC4" w:rsidRPr="00D03FC4">
        <w:rPr>
          <w:rFonts w:eastAsia="Aptos" w:cs="Times New Roman"/>
          <w:kern w:val="0"/>
          <w:szCs w:val="24"/>
          <w:shd w:val="clear" w:color="auto" w:fill="FFFFFF"/>
          <w:lang w:eastAsia="et-EE"/>
        </w:rPr>
        <w:t xml:space="preserve">Iga taotleja puhul hinnatakse kaasuspõhiselt võimalikke riske </w:t>
      </w:r>
      <w:r w:rsidR="00C37ADB">
        <w:rPr>
          <w:rFonts w:eastAsia="Aptos" w:cs="Times New Roman"/>
          <w:kern w:val="0"/>
          <w:szCs w:val="24"/>
          <w:shd w:val="clear" w:color="auto" w:fill="FFFFFF"/>
          <w:lang w:eastAsia="et-EE"/>
        </w:rPr>
        <w:t>ja</w:t>
      </w:r>
      <w:r w:rsidR="00D03FC4" w:rsidRPr="00D03FC4">
        <w:rPr>
          <w:rFonts w:eastAsia="Aptos" w:cs="Times New Roman"/>
          <w:kern w:val="0"/>
          <w:szCs w:val="24"/>
          <w:shd w:val="clear" w:color="auto" w:fill="FFFFFF"/>
          <w:lang w:eastAsia="et-EE"/>
        </w:rPr>
        <w:t xml:space="preserve"> tema senist panust Eesti majandusse</w:t>
      </w:r>
      <w:r w:rsidR="00222E5D">
        <w:rPr>
          <w:rFonts w:eastAsia="Aptos" w:cs="Times New Roman"/>
          <w:kern w:val="0"/>
          <w:szCs w:val="24"/>
          <w:shd w:val="clear" w:color="auto" w:fill="FFFFFF"/>
          <w:lang w:eastAsia="et-EE"/>
        </w:rPr>
        <w:t>. V</w:t>
      </w:r>
      <w:r w:rsidR="00C37ADB">
        <w:rPr>
          <w:rFonts w:eastAsia="Aptos" w:cs="Times New Roman"/>
          <w:kern w:val="0"/>
          <w:szCs w:val="24"/>
          <w:shd w:val="clear" w:color="auto" w:fill="FFFFFF"/>
          <w:lang w:eastAsia="et-EE"/>
        </w:rPr>
        <w:t>arem e</w:t>
      </w:r>
      <w:r w:rsidR="00C37ADB" w:rsidRPr="00BE769B">
        <w:rPr>
          <w:rFonts w:eastAsia="Aptos" w:cs="Times New Roman"/>
          <w:kern w:val="0"/>
          <w:szCs w:val="24"/>
          <w:shd w:val="clear" w:color="auto" w:fill="FFFFFF"/>
          <w:lang w:eastAsia="et-EE"/>
        </w:rPr>
        <w:t>-residendi</w:t>
      </w:r>
      <w:r w:rsidR="00C37ADB">
        <w:rPr>
          <w:rFonts w:eastAsia="Aptos" w:cs="Times New Roman"/>
          <w:kern w:val="0"/>
          <w:szCs w:val="24"/>
          <w:shd w:val="clear" w:color="auto" w:fill="FFFFFF"/>
          <w:lang w:eastAsia="et-EE"/>
        </w:rPr>
        <w:t xml:space="preserve"> </w:t>
      </w:r>
      <w:r w:rsidR="00C37ADB" w:rsidRPr="00BE769B">
        <w:rPr>
          <w:rFonts w:eastAsia="Aptos" w:cs="Times New Roman"/>
          <w:kern w:val="0"/>
          <w:szCs w:val="24"/>
          <w:shd w:val="clear" w:color="auto" w:fill="FFFFFF"/>
          <w:lang w:eastAsia="et-EE"/>
        </w:rPr>
        <w:t>d</w:t>
      </w:r>
      <w:r w:rsidR="00C37ADB">
        <w:rPr>
          <w:rFonts w:eastAsia="Aptos" w:cs="Times New Roman"/>
          <w:kern w:val="0"/>
          <w:szCs w:val="24"/>
          <w:shd w:val="clear" w:color="auto" w:fill="FFFFFF"/>
          <w:lang w:eastAsia="et-EE"/>
        </w:rPr>
        <w:t xml:space="preserve">igi-ID-d omanud isikute osas on võimalik kontrollida </w:t>
      </w:r>
      <w:r w:rsidR="00222E5D">
        <w:rPr>
          <w:rFonts w:eastAsia="Aptos" w:cs="Times New Roman"/>
          <w:kern w:val="0"/>
          <w:szCs w:val="24"/>
          <w:shd w:val="clear" w:color="auto" w:fill="FFFFFF"/>
          <w:lang w:eastAsia="et-EE"/>
        </w:rPr>
        <w:t xml:space="preserve">isiku </w:t>
      </w:r>
      <w:r w:rsidR="00C37ADB">
        <w:rPr>
          <w:rFonts w:eastAsia="Aptos" w:cs="Times New Roman"/>
          <w:kern w:val="0"/>
          <w:szCs w:val="24"/>
          <w:shd w:val="clear" w:color="auto" w:fill="FFFFFF"/>
          <w:lang w:eastAsia="et-EE"/>
        </w:rPr>
        <w:t>digi-ID kasutamise eesmärgipärasust.</w:t>
      </w:r>
      <w:r w:rsidR="00D03FC4" w:rsidRPr="00D03FC4">
        <w:rPr>
          <w:rFonts w:eastAsia="Aptos" w:cs="Times New Roman"/>
          <w:kern w:val="0"/>
          <w:szCs w:val="24"/>
          <w:shd w:val="clear" w:color="auto" w:fill="FFFFFF"/>
          <w:lang w:eastAsia="et-EE"/>
        </w:rPr>
        <w:t xml:space="preserve"> Kui esinevad riskid või kui ettevõtlustegevus ei ole toonud Eesti riigile majanduslikku tulu, siis PPA keeldub e-reside</w:t>
      </w:r>
      <w:r w:rsidR="00D03FC4">
        <w:rPr>
          <w:rFonts w:eastAsia="Aptos" w:cs="Times New Roman"/>
          <w:kern w:val="0"/>
          <w:szCs w:val="24"/>
          <w:shd w:val="clear" w:color="auto" w:fill="FFFFFF"/>
          <w:lang w:eastAsia="et-EE"/>
        </w:rPr>
        <w:t>ndi digi-ID</w:t>
      </w:r>
      <w:r w:rsidR="00D03FC4" w:rsidRPr="00D03FC4">
        <w:rPr>
          <w:rFonts w:eastAsia="Aptos" w:cs="Times New Roman"/>
          <w:kern w:val="0"/>
          <w:szCs w:val="24"/>
          <w:shd w:val="clear" w:color="auto" w:fill="FFFFFF"/>
          <w:lang w:eastAsia="et-EE"/>
        </w:rPr>
        <w:t xml:space="preserve"> väljaandmisest.</w:t>
      </w:r>
      <w:r w:rsidR="00D03FC4">
        <w:rPr>
          <w:rFonts w:eastAsia="Aptos" w:cs="Times New Roman"/>
          <w:kern w:val="0"/>
          <w:szCs w:val="24"/>
          <w:shd w:val="clear" w:color="auto" w:fill="FFFFFF"/>
          <w:lang w:eastAsia="et-EE"/>
        </w:rPr>
        <w:t xml:space="preserve"> </w:t>
      </w:r>
      <w:r w:rsidR="00C37ADB">
        <w:rPr>
          <w:rFonts w:eastAsia="Aptos" w:cs="Times New Roman"/>
          <w:kern w:val="0"/>
          <w:szCs w:val="24"/>
          <w:shd w:val="clear" w:color="auto" w:fill="FFFFFF"/>
          <w:lang w:eastAsia="et-EE"/>
        </w:rPr>
        <w:t>Samuti</w:t>
      </w:r>
      <w:r w:rsidR="00BE769B">
        <w:rPr>
          <w:rFonts w:eastAsia="Aptos" w:cs="Times New Roman"/>
          <w:kern w:val="0"/>
          <w:szCs w:val="24"/>
          <w:shd w:val="clear" w:color="auto" w:fill="FFFFFF"/>
          <w:lang w:eastAsia="et-EE"/>
        </w:rPr>
        <w:t xml:space="preserve"> on </w:t>
      </w:r>
      <w:proofErr w:type="spellStart"/>
      <w:r w:rsidR="00BE769B">
        <w:rPr>
          <w:rFonts w:eastAsia="Aptos" w:cs="Times New Roman"/>
          <w:kern w:val="0"/>
          <w:szCs w:val="24"/>
          <w:shd w:val="clear" w:color="auto" w:fill="FFFFFF"/>
          <w:lang w:eastAsia="et-EE"/>
        </w:rPr>
        <w:t>PPA-l</w:t>
      </w:r>
      <w:proofErr w:type="spellEnd"/>
      <w:r w:rsidR="00BE769B">
        <w:rPr>
          <w:rFonts w:eastAsia="Aptos" w:cs="Times New Roman"/>
          <w:kern w:val="0"/>
          <w:szCs w:val="24"/>
          <w:shd w:val="clear" w:color="auto" w:fill="FFFFFF"/>
          <w:lang w:eastAsia="et-EE"/>
        </w:rPr>
        <w:t xml:space="preserve"> õigus tunnistada </w:t>
      </w:r>
      <w:r w:rsidR="00C37ADB">
        <w:rPr>
          <w:rFonts w:eastAsia="Aptos" w:cs="Times New Roman"/>
          <w:kern w:val="0"/>
          <w:szCs w:val="24"/>
          <w:shd w:val="clear" w:color="auto" w:fill="FFFFFF"/>
          <w:lang w:eastAsia="et-EE"/>
        </w:rPr>
        <w:t xml:space="preserve">juba </w:t>
      </w:r>
      <w:r w:rsidR="00BE769B">
        <w:rPr>
          <w:rFonts w:eastAsia="Aptos" w:cs="Times New Roman"/>
          <w:kern w:val="0"/>
          <w:szCs w:val="24"/>
          <w:shd w:val="clear" w:color="auto" w:fill="FFFFFF"/>
          <w:lang w:eastAsia="et-EE"/>
        </w:rPr>
        <w:t>väljaantud digi-ID kehtetuks lähtuvalt ITDS §</w:t>
      </w:r>
      <w:r w:rsidR="00D2769D">
        <w:rPr>
          <w:rFonts w:eastAsia="Aptos" w:cs="Times New Roman"/>
          <w:kern w:val="0"/>
          <w:szCs w:val="24"/>
          <w:shd w:val="clear" w:color="auto" w:fill="FFFFFF"/>
          <w:lang w:eastAsia="et-EE"/>
        </w:rPr>
        <w:t>-ist 20</w:t>
      </w:r>
      <w:r w:rsidR="00D2769D" w:rsidRPr="00D2769D">
        <w:rPr>
          <w:rFonts w:eastAsia="Aptos" w:cs="Times New Roman"/>
          <w:kern w:val="0"/>
          <w:szCs w:val="24"/>
          <w:shd w:val="clear" w:color="auto" w:fill="FFFFFF"/>
          <w:vertAlign w:val="superscript"/>
          <w:lang w:eastAsia="et-EE"/>
        </w:rPr>
        <w:t>6</w:t>
      </w:r>
      <w:r w:rsidR="00D2769D">
        <w:rPr>
          <w:rFonts w:eastAsia="Aptos" w:cs="Times New Roman"/>
          <w:kern w:val="0"/>
          <w:szCs w:val="24"/>
          <w:shd w:val="clear" w:color="auto" w:fill="FFFFFF"/>
          <w:lang w:eastAsia="et-EE"/>
        </w:rPr>
        <w:t>.</w:t>
      </w:r>
    </w:p>
    <w:p w14:paraId="21DBE482" w14:textId="77777777" w:rsidR="00657293" w:rsidRDefault="00657293" w:rsidP="00F73927">
      <w:pPr>
        <w:jc w:val="both"/>
        <w:rPr>
          <w:rFonts w:eastAsia="Aptos" w:cs="Times New Roman"/>
          <w:kern w:val="0"/>
          <w:szCs w:val="24"/>
          <w:shd w:val="clear" w:color="auto" w:fill="FFFFFF"/>
          <w:lang w:eastAsia="et-EE"/>
        </w:rPr>
      </w:pPr>
    </w:p>
    <w:p w14:paraId="46477DD2" w14:textId="633EA728" w:rsidR="00657293" w:rsidRPr="00657293" w:rsidRDefault="00657293" w:rsidP="00657293">
      <w:pPr>
        <w:pStyle w:val="Default"/>
        <w:contextualSpacing/>
        <w:jc w:val="both"/>
      </w:pPr>
      <w:r>
        <w:rPr>
          <w:rFonts w:eastAsia="Times New Roman"/>
          <w:b/>
          <w:bCs/>
          <w:color w:val="auto"/>
          <w14:ligatures w14:val="none"/>
        </w:rPr>
        <w:t xml:space="preserve">Eelnõu §-ga 3 </w:t>
      </w:r>
      <w:r w:rsidRPr="00BD766D">
        <w:rPr>
          <w:rFonts w:cstheme="minorBidi"/>
          <w:color w:val="auto"/>
          <w:szCs w:val="22"/>
        </w:rPr>
        <w:t>sätesta</w:t>
      </w:r>
      <w:r>
        <w:rPr>
          <w:rFonts w:cstheme="minorBidi"/>
          <w:color w:val="auto"/>
          <w:szCs w:val="22"/>
        </w:rPr>
        <w:t>takse</w:t>
      </w:r>
      <w:r w:rsidRPr="00BD766D">
        <w:rPr>
          <w:rFonts w:cstheme="minorBidi"/>
          <w:color w:val="auto"/>
          <w:szCs w:val="22"/>
        </w:rPr>
        <w:t xml:space="preserve"> </w:t>
      </w:r>
      <w:r>
        <w:rPr>
          <w:rFonts w:cstheme="minorBidi"/>
          <w:color w:val="auto"/>
          <w:szCs w:val="22"/>
        </w:rPr>
        <w:t>määrus</w:t>
      </w:r>
      <w:r w:rsidRPr="00BD766D">
        <w:rPr>
          <w:rFonts w:cstheme="minorBidi"/>
          <w:color w:val="auto"/>
          <w:szCs w:val="22"/>
        </w:rPr>
        <w:t>e jõustumi</w:t>
      </w:r>
      <w:r>
        <w:rPr>
          <w:rFonts w:cstheme="minorBidi"/>
          <w:color w:val="auto"/>
          <w:szCs w:val="22"/>
        </w:rPr>
        <w:t>n</w:t>
      </w:r>
      <w:r w:rsidRPr="00BD766D">
        <w:rPr>
          <w:rFonts w:cstheme="minorBidi"/>
          <w:color w:val="auto"/>
          <w:szCs w:val="22"/>
        </w:rPr>
        <w:t xml:space="preserve">e. </w:t>
      </w:r>
      <w:r>
        <w:t>Määrus</w:t>
      </w:r>
      <w:r w:rsidRPr="004877E4">
        <w:t xml:space="preserve"> jõustub </w:t>
      </w:r>
      <w:r w:rsidR="00222E5D">
        <w:t>1</w:t>
      </w:r>
      <w:r>
        <w:t xml:space="preserve">. </w:t>
      </w:r>
      <w:r w:rsidR="00222E5D">
        <w:t>oktoobril 2025</w:t>
      </w:r>
      <w:r>
        <w:t>, sest m</w:t>
      </w:r>
      <w:r w:rsidRPr="004877E4">
        <w:t>uudatus</w:t>
      </w:r>
      <w:r>
        <w:t>te</w:t>
      </w:r>
      <w:r w:rsidRPr="004877E4">
        <w:t xml:space="preserve"> rakendami</w:t>
      </w:r>
      <w:r>
        <w:t xml:space="preserve">ne eeldab </w:t>
      </w:r>
      <w:r w:rsidRPr="004877E4">
        <w:t>infotehnoloogilisi arendus</w:t>
      </w:r>
      <w:r>
        <w:t>töid.</w:t>
      </w:r>
    </w:p>
    <w:p w14:paraId="7AC1A93A" w14:textId="77777777" w:rsidR="00B32360" w:rsidRPr="00B32360" w:rsidRDefault="00B32360" w:rsidP="00B32360">
      <w:pPr>
        <w:jc w:val="both"/>
        <w:rPr>
          <w:rFonts w:eastAsia="Times New Roman" w:cs="Times New Roman"/>
          <w:color w:val="auto"/>
          <w:kern w:val="0"/>
          <w:szCs w:val="24"/>
          <w14:ligatures w14:val="none"/>
        </w:rPr>
      </w:pPr>
    </w:p>
    <w:p w14:paraId="72861512" w14:textId="77777777" w:rsidR="00B32360" w:rsidRPr="00B32360" w:rsidRDefault="00B32360" w:rsidP="00B32360">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3. Eelnõu vastavus Euroopa Liidu õigusele</w:t>
      </w:r>
    </w:p>
    <w:p w14:paraId="1CE34F40" w14:textId="77777777" w:rsidR="00B32360" w:rsidRPr="00B32360" w:rsidRDefault="00B32360" w:rsidP="00B32360">
      <w:pPr>
        <w:jc w:val="both"/>
        <w:rPr>
          <w:rFonts w:eastAsia="Times New Roman" w:cs="Times New Roman"/>
          <w:color w:val="auto"/>
          <w:kern w:val="0"/>
          <w:szCs w:val="24"/>
          <w14:ligatures w14:val="none"/>
        </w:rPr>
      </w:pPr>
    </w:p>
    <w:p w14:paraId="5763F987" w14:textId="759F8CF5" w:rsidR="00B32360" w:rsidRPr="00B32360" w:rsidRDefault="00B32360" w:rsidP="00B32360">
      <w:pPr>
        <w:autoSpaceDE w:val="0"/>
        <w:autoSpaceDN w:val="0"/>
        <w:adjustRightInd w:val="0"/>
        <w:jc w:val="both"/>
        <w:rPr>
          <w:rFonts w:eastAsia="Calibri" w:cs="Times New Roman"/>
          <w:color w:val="auto"/>
          <w:kern w:val="0"/>
          <w:szCs w:val="24"/>
          <w:lang w:eastAsia="et-EE"/>
          <w14:ligatures w14:val="none"/>
        </w:rPr>
      </w:pPr>
      <w:r w:rsidRPr="00B32360">
        <w:rPr>
          <w:rFonts w:eastAsia="Calibri" w:cs="Times New Roman"/>
          <w:color w:val="auto"/>
          <w:kern w:val="0"/>
          <w:szCs w:val="24"/>
          <w:lang w:eastAsia="et-EE"/>
          <w14:ligatures w14:val="none"/>
        </w:rPr>
        <w:t>Eelnõu ei ole seotud Euroopa Liidu õiguse ega selle rakendamisega.</w:t>
      </w:r>
    </w:p>
    <w:p w14:paraId="3168A17C" w14:textId="77777777" w:rsidR="00B32360" w:rsidRPr="00B32360" w:rsidRDefault="00B32360" w:rsidP="00B32360">
      <w:pPr>
        <w:rPr>
          <w:rFonts w:eastAsia="Times New Roman" w:cs="Times New Roman"/>
          <w:color w:val="auto"/>
          <w:kern w:val="0"/>
          <w:szCs w:val="24"/>
          <w14:ligatures w14:val="none"/>
        </w:rPr>
      </w:pPr>
    </w:p>
    <w:p w14:paraId="1607EC0A" w14:textId="77777777" w:rsidR="00B32360" w:rsidRPr="00B32360" w:rsidRDefault="00B32360" w:rsidP="00B32360">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4. Määruse mõjud</w:t>
      </w:r>
    </w:p>
    <w:p w14:paraId="48F6F4E1" w14:textId="77777777" w:rsidR="00B32360" w:rsidRDefault="00B32360" w:rsidP="00B32360">
      <w:pPr>
        <w:jc w:val="both"/>
        <w:rPr>
          <w:rFonts w:eastAsia="Calibri" w:cs="Times New Roman"/>
          <w:color w:val="auto"/>
          <w:kern w:val="0"/>
          <w:szCs w:val="24"/>
          <w14:ligatures w14:val="none"/>
        </w:rPr>
      </w:pPr>
    </w:p>
    <w:p w14:paraId="287F8802" w14:textId="56436E18" w:rsidR="0050436C" w:rsidRPr="00B32360" w:rsidRDefault="0050436C" w:rsidP="00B32360">
      <w:pPr>
        <w:jc w:val="both"/>
        <w:rPr>
          <w:rFonts w:eastAsia="Calibri" w:cs="Times New Roman"/>
          <w:color w:val="auto"/>
          <w:kern w:val="0"/>
          <w:szCs w:val="24"/>
          <w14:ligatures w14:val="none"/>
        </w:rPr>
      </w:pPr>
      <w:r>
        <w:rPr>
          <w:rFonts w:eastAsia="Calibri" w:cs="Times New Roman"/>
          <w:color w:val="auto"/>
          <w:kern w:val="0"/>
          <w:szCs w:val="24"/>
          <w14:ligatures w14:val="none"/>
        </w:rPr>
        <w:t>Määruse rakendami</w:t>
      </w:r>
      <w:r w:rsidR="00EB4A69">
        <w:rPr>
          <w:rFonts w:eastAsia="Calibri" w:cs="Times New Roman"/>
          <w:color w:val="auto"/>
          <w:kern w:val="0"/>
          <w:szCs w:val="24"/>
          <w14:ligatures w14:val="none"/>
        </w:rPr>
        <w:t xml:space="preserve">sega ei kaasne täiendavaid mõjusid. Muudatusega </w:t>
      </w:r>
      <w:r>
        <w:rPr>
          <w:rFonts w:eastAsia="Calibri" w:cs="Times New Roman"/>
          <w:color w:val="auto"/>
          <w:kern w:val="0"/>
          <w:szCs w:val="24"/>
          <w14:ligatures w14:val="none"/>
        </w:rPr>
        <w:t>kaasnevad mõjud on hinnatud ITDS-i muutmise eelnõu</w:t>
      </w:r>
      <w:r>
        <w:rPr>
          <w:rStyle w:val="FootnoteReference"/>
          <w:rFonts w:eastAsia="Calibri" w:cs="Times New Roman"/>
          <w:color w:val="auto"/>
          <w:kern w:val="0"/>
          <w:szCs w:val="24"/>
          <w14:ligatures w14:val="none"/>
        </w:rPr>
        <w:footnoteReference w:id="11"/>
      </w:r>
      <w:r w:rsidR="00EB4A69">
        <w:rPr>
          <w:rFonts w:eastAsia="Calibri" w:cs="Times New Roman"/>
          <w:color w:val="auto"/>
          <w:kern w:val="0"/>
          <w:szCs w:val="24"/>
          <w14:ligatures w14:val="none"/>
        </w:rPr>
        <w:t xml:space="preserve"> seletuskirja punktis 6.1.2</w:t>
      </w:r>
      <w:r>
        <w:rPr>
          <w:rFonts w:eastAsia="Calibri" w:cs="Times New Roman"/>
          <w:color w:val="auto"/>
          <w:kern w:val="0"/>
          <w:szCs w:val="24"/>
          <w14:ligatures w14:val="none"/>
        </w:rPr>
        <w:t>.</w:t>
      </w:r>
    </w:p>
    <w:p w14:paraId="03C3E38C" w14:textId="77777777" w:rsidR="00B32360" w:rsidRPr="00B32360" w:rsidRDefault="00B32360" w:rsidP="00B32360">
      <w:pPr>
        <w:jc w:val="both"/>
        <w:rPr>
          <w:rFonts w:eastAsia="Calibri" w:cs="Times New Roman"/>
          <w:color w:val="auto"/>
          <w:kern w:val="0"/>
          <w:szCs w:val="24"/>
          <w14:ligatures w14:val="none"/>
        </w:rPr>
      </w:pPr>
      <w:bookmarkStart w:id="2" w:name="_Hlk101876800"/>
    </w:p>
    <w:bookmarkEnd w:id="2"/>
    <w:p w14:paraId="0CFD15D4" w14:textId="77777777" w:rsidR="00B32360" w:rsidRPr="00B32360" w:rsidRDefault="00B32360" w:rsidP="00B32360">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5. Määruse rakendamisega seotud tegevused, vajalikud kulud ja määruse rakendamise eeldatavad tulud</w:t>
      </w:r>
    </w:p>
    <w:p w14:paraId="643B20AF" w14:textId="77777777" w:rsidR="00B32360" w:rsidRPr="00B32360" w:rsidRDefault="00B32360" w:rsidP="00B32360">
      <w:pPr>
        <w:jc w:val="both"/>
        <w:rPr>
          <w:rFonts w:eastAsia="Times New Roman" w:cs="Times New Roman"/>
          <w:color w:val="auto"/>
          <w:kern w:val="0"/>
          <w:szCs w:val="24"/>
          <w14:ligatures w14:val="none"/>
        </w:rPr>
      </w:pPr>
    </w:p>
    <w:p w14:paraId="4B61BC08" w14:textId="5AEA2189" w:rsidR="00B32360" w:rsidRPr="00B32360" w:rsidRDefault="00B32360" w:rsidP="00B32360">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Määruse rakendamisega kaasne</w:t>
      </w:r>
      <w:r w:rsidR="00657293">
        <w:rPr>
          <w:rFonts w:eastAsia="Times New Roman" w:cs="Times New Roman"/>
          <w:color w:val="auto"/>
          <w:kern w:val="0"/>
          <w:szCs w:val="24"/>
          <w14:ligatures w14:val="none"/>
        </w:rPr>
        <w:t xml:space="preserve">vad </w:t>
      </w:r>
      <w:r w:rsidR="00EB4A69" w:rsidRPr="00EB4A69">
        <w:rPr>
          <w:rFonts w:eastAsia="Times New Roman" w:cs="Times New Roman"/>
          <w:color w:val="auto"/>
          <w:kern w:val="0"/>
          <w:szCs w:val="24"/>
          <w14:ligatures w14:val="none"/>
        </w:rPr>
        <w:t xml:space="preserve">PPA iseteeninduse </w:t>
      </w:r>
      <w:r w:rsidR="00657293">
        <w:rPr>
          <w:rFonts w:eastAsia="Times New Roman" w:cs="Times New Roman"/>
          <w:color w:val="auto"/>
          <w:kern w:val="0"/>
          <w:szCs w:val="24"/>
          <w14:ligatures w14:val="none"/>
        </w:rPr>
        <w:t xml:space="preserve">infotehnoloogilised arendustööd, mille kulud kaetakse olemasolevast </w:t>
      </w:r>
      <w:r w:rsidR="00657293" w:rsidRPr="00F8385E">
        <w:rPr>
          <w:rFonts w:eastAsia="Calibri"/>
          <w:kern w:val="0"/>
          <w14:ligatures w14:val="none"/>
        </w:rPr>
        <w:t>Siseministeeriumi infotehnoloogia- ja arenduskeskus</w:t>
      </w:r>
      <w:r w:rsidR="00657293">
        <w:rPr>
          <w:rFonts w:eastAsia="Calibri"/>
          <w:kern w:val="0"/>
          <w14:ligatures w14:val="none"/>
        </w:rPr>
        <w:t>e eelarvest.</w:t>
      </w:r>
    </w:p>
    <w:p w14:paraId="7F774C4E" w14:textId="77777777" w:rsidR="00B32360" w:rsidRPr="00B32360" w:rsidRDefault="00B32360" w:rsidP="00B32360">
      <w:pPr>
        <w:rPr>
          <w:rFonts w:eastAsia="Times New Roman" w:cs="Times New Roman"/>
          <w:color w:val="auto"/>
          <w:kern w:val="0"/>
          <w:szCs w:val="24"/>
          <w14:ligatures w14:val="none"/>
        </w:rPr>
      </w:pPr>
    </w:p>
    <w:p w14:paraId="1EB73E87" w14:textId="77777777" w:rsidR="00B32360" w:rsidRPr="00B32360" w:rsidRDefault="00B32360" w:rsidP="00B32360">
      <w:pPr>
        <w:jc w:val="both"/>
        <w:rPr>
          <w:rFonts w:eastAsia="Times New Roman" w:cs="Times New Roman"/>
          <w:b/>
          <w:bCs/>
          <w:color w:val="auto"/>
          <w:kern w:val="0"/>
          <w:szCs w:val="24"/>
          <w14:ligatures w14:val="none"/>
        </w:rPr>
      </w:pPr>
      <w:r w:rsidRPr="00B32360">
        <w:rPr>
          <w:rFonts w:eastAsia="Times New Roman" w:cs="Times New Roman"/>
          <w:b/>
          <w:color w:val="auto"/>
          <w:kern w:val="0"/>
          <w:szCs w:val="24"/>
          <w14:ligatures w14:val="none"/>
        </w:rPr>
        <w:t>6. Määruse jõustumine</w:t>
      </w:r>
    </w:p>
    <w:p w14:paraId="76E693FC" w14:textId="77777777" w:rsidR="00B32360" w:rsidRPr="00B32360" w:rsidRDefault="00B32360" w:rsidP="00B32360">
      <w:pPr>
        <w:rPr>
          <w:rFonts w:eastAsia="Times New Roman" w:cs="Times New Roman"/>
          <w:color w:val="auto"/>
          <w:kern w:val="0"/>
          <w:szCs w:val="24"/>
          <w14:ligatures w14:val="none"/>
        </w:rPr>
      </w:pPr>
    </w:p>
    <w:p w14:paraId="06C82DAD" w14:textId="35AAD5F0" w:rsidR="00B32360" w:rsidRPr="00B32360" w:rsidRDefault="00B32360" w:rsidP="00B32360">
      <w:pPr>
        <w:jc w:val="both"/>
        <w:rPr>
          <w:rFonts w:eastAsia="Times New Roman" w:cs="Times New Roman"/>
          <w:color w:val="000000"/>
          <w:kern w:val="0"/>
          <w:szCs w:val="24"/>
          <w:lang w:eastAsia="et-EE"/>
          <w14:ligatures w14:val="none"/>
        </w:rPr>
      </w:pPr>
      <w:r w:rsidRPr="00B32360">
        <w:rPr>
          <w:rFonts w:eastAsia="Times New Roman" w:cs="Times New Roman"/>
          <w:color w:val="000000"/>
          <w:kern w:val="0"/>
          <w:szCs w:val="24"/>
          <w:lang w:eastAsia="et-EE"/>
          <w14:ligatures w14:val="none"/>
        </w:rPr>
        <w:t xml:space="preserve">Määrus jõustub </w:t>
      </w:r>
      <w:r w:rsidR="00EB4A69">
        <w:rPr>
          <w:rFonts w:eastAsia="Times New Roman" w:cs="Times New Roman"/>
          <w:color w:val="000000"/>
          <w:kern w:val="0"/>
          <w:szCs w:val="24"/>
          <w:lang w:eastAsia="et-EE"/>
          <w14:ligatures w14:val="none"/>
        </w:rPr>
        <w:t>1</w:t>
      </w:r>
      <w:r w:rsidR="00D2769D">
        <w:rPr>
          <w:rFonts w:eastAsia="Times New Roman" w:cs="Times New Roman"/>
          <w:color w:val="000000"/>
          <w:kern w:val="0"/>
          <w:szCs w:val="24"/>
          <w:lang w:eastAsia="et-EE"/>
          <w14:ligatures w14:val="none"/>
        </w:rPr>
        <w:t xml:space="preserve">. </w:t>
      </w:r>
      <w:r w:rsidR="00EB4A69">
        <w:rPr>
          <w:rFonts w:eastAsia="Times New Roman" w:cs="Times New Roman"/>
          <w:color w:val="000000"/>
          <w:kern w:val="0"/>
          <w:szCs w:val="24"/>
          <w:lang w:eastAsia="et-EE"/>
          <w14:ligatures w14:val="none"/>
        </w:rPr>
        <w:t>oktoobril</w:t>
      </w:r>
      <w:r w:rsidR="00D2769D">
        <w:rPr>
          <w:rFonts w:eastAsia="Times New Roman" w:cs="Times New Roman"/>
          <w:color w:val="000000"/>
          <w:kern w:val="0"/>
          <w:szCs w:val="24"/>
          <w:lang w:eastAsia="et-EE"/>
          <w14:ligatures w14:val="none"/>
        </w:rPr>
        <w:t xml:space="preserve"> 2025</w:t>
      </w:r>
      <w:r w:rsidR="00EB4A69">
        <w:rPr>
          <w:rFonts w:eastAsia="Times New Roman" w:cs="Times New Roman"/>
          <w:color w:val="000000"/>
          <w:kern w:val="0"/>
          <w:szCs w:val="24"/>
          <w:lang w:eastAsia="et-EE"/>
          <w14:ligatures w14:val="none"/>
        </w:rPr>
        <w:t>,</w:t>
      </w:r>
      <w:r w:rsidR="00EB4A69" w:rsidRPr="00EB4A69">
        <w:t xml:space="preserve"> </w:t>
      </w:r>
      <w:r w:rsidR="00EB4A69" w:rsidRPr="00EB4A69">
        <w:rPr>
          <w:rFonts w:eastAsia="Times New Roman" w:cs="Times New Roman"/>
          <w:color w:val="000000"/>
          <w:kern w:val="0"/>
          <w:szCs w:val="24"/>
          <w:lang w:eastAsia="et-EE"/>
          <w14:ligatures w14:val="none"/>
        </w:rPr>
        <w:t>sest muudatuste rakendamine eeldab infotehnoloogilisi arendustöid</w:t>
      </w:r>
      <w:r w:rsidRPr="00B32360">
        <w:rPr>
          <w:rFonts w:eastAsia="Times New Roman" w:cs="Times New Roman"/>
          <w:color w:val="000000"/>
          <w:kern w:val="0"/>
          <w:szCs w:val="24"/>
          <w:lang w:eastAsia="et-EE"/>
          <w14:ligatures w14:val="none"/>
        </w:rPr>
        <w:t>.</w:t>
      </w:r>
    </w:p>
    <w:p w14:paraId="488CF487" w14:textId="77777777" w:rsidR="00B32360" w:rsidRPr="00B32360" w:rsidRDefault="00B32360" w:rsidP="00B32360">
      <w:pPr>
        <w:jc w:val="both"/>
        <w:rPr>
          <w:rFonts w:eastAsia="Times New Roman" w:cs="Times New Roman"/>
          <w:color w:val="000000"/>
          <w:kern w:val="0"/>
          <w:szCs w:val="24"/>
          <w:lang w:eastAsia="et-EE"/>
          <w14:ligatures w14:val="none"/>
        </w:rPr>
      </w:pPr>
    </w:p>
    <w:p w14:paraId="628DBF19" w14:textId="77777777" w:rsidR="00B32360" w:rsidRPr="00B32360" w:rsidRDefault="00B32360" w:rsidP="00B32360">
      <w:pPr>
        <w:keepNext/>
        <w:jc w:val="both"/>
        <w:rPr>
          <w:rFonts w:eastAsia="Times New Roman" w:cs="Times New Roman"/>
          <w:b/>
          <w:bCs/>
          <w:color w:val="auto"/>
          <w:kern w:val="0"/>
          <w:szCs w:val="24"/>
          <w14:ligatures w14:val="none"/>
        </w:rPr>
      </w:pPr>
      <w:r w:rsidRPr="00B32360">
        <w:rPr>
          <w:rFonts w:eastAsia="Times New Roman" w:cs="Times New Roman"/>
          <w:b/>
          <w:color w:val="auto"/>
          <w:kern w:val="0"/>
          <w:szCs w:val="24"/>
          <w14:ligatures w14:val="none"/>
        </w:rPr>
        <w:t>7. Eelnõu kooskõlastamine, huvirühmade kaasamine ja avalik konsultatsioon</w:t>
      </w:r>
    </w:p>
    <w:p w14:paraId="72E91D09" w14:textId="77777777" w:rsidR="00B32360" w:rsidRPr="00EB4A69" w:rsidRDefault="00B32360" w:rsidP="00B32360">
      <w:pPr>
        <w:keepNext/>
        <w:jc w:val="both"/>
        <w:rPr>
          <w:rFonts w:eastAsia="Times New Roman" w:cs="Times New Roman"/>
          <w:color w:val="auto"/>
          <w:kern w:val="0"/>
          <w:szCs w:val="24"/>
          <w14:ligatures w14:val="none"/>
        </w:rPr>
      </w:pPr>
    </w:p>
    <w:p w14:paraId="56F6728E" w14:textId="654DFE85" w:rsidR="008F4574" w:rsidRPr="00DD26F6" w:rsidRDefault="00B32360" w:rsidP="00DD26F6">
      <w:pPr>
        <w:jc w:val="both"/>
        <w:rPr>
          <w:rFonts w:eastAsia="Calibri"/>
          <w:kern w:val="0"/>
          <w14:ligatures w14:val="none"/>
        </w:rPr>
      </w:pPr>
      <w:r w:rsidRPr="00B32360">
        <w:rPr>
          <w:rFonts w:eastAsia="Times New Roman" w:cs="Times New Roman"/>
          <w:color w:val="auto"/>
          <w:kern w:val="0"/>
          <w:szCs w:val="24"/>
          <w14:ligatures w14:val="none"/>
        </w:rPr>
        <w:t xml:space="preserve">Eelnõu esitatakse </w:t>
      </w:r>
      <w:r w:rsidRPr="00292116">
        <w:rPr>
          <w:rFonts w:eastAsia="Calibri"/>
          <w:kern w:val="0"/>
          <w14:ligatures w14:val="none"/>
        </w:rPr>
        <w:t xml:space="preserve">eelnõude infosüsteemi (EIS) kaudu kooskõlastamiseks </w:t>
      </w:r>
      <w:r w:rsidR="00292116">
        <w:rPr>
          <w:rFonts w:eastAsia="Calibri"/>
          <w:kern w:val="0"/>
          <w14:ligatures w14:val="none"/>
        </w:rPr>
        <w:t>Justiits</w:t>
      </w:r>
      <w:r w:rsidR="00454FDF">
        <w:rPr>
          <w:rFonts w:eastAsia="Calibri"/>
          <w:kern w:val="0"/>
          <w14:ligatures w14:val="none"/>
        </w:rPr>
        <w:t>- ja Digi</w:t>
      </w:r>
      <w:r w:rsidRPr="00292116">
        <w:rPr>
          <w:rFonts w:eastAsia="Calibri"/>
          <w:kern w:val="0"/>
          <w14:ligatures w14:val="none"/>
        </w:rPr>
        <w:t>ministeeriumile</w:t>
      </w:r>
      <w:r w:rsidR="00292116">
        <w:rPr>
          <w:rFonts w:eastAsia="Calibri"/>
          <w:kern w:val="0"/>
          <w14:ligatures w14:val="none"/>
        </w:rPr>
        <w:t xml:space="preserve">, Kaitseministeeriumile, Majandus- ja Kommunikatsiooniministeeriumile, </w:t>
      </w:r>
      <w:r w:rsidR="00EF0D06">
        <w:rPr>
          <w:rFonts w:eastAsia="Calibri"/>
          <w:kern w:val="0"/>
          <w14:ligatures w14:val="none"/>
        </w:rPr>
        <w:t xml:space="preserve">Rahandusministeeriumile, </w:t>
      </w:r>
      <w:r w:rsidR="00292116">
        <w:rPr>
          <w:rFonts w:eastAsia="Calibri"/>
          <w:kern w:val="0"/>
          <w14:ligatures w14:val="none"/>
        </w:rPr>
        <w:t>Välisministeeriumile</w:t>
      </w:r>
      <w:r w:rsidRPr="00292116">
        <w:rPr>
          <w:rFonts w:eastAsia="Calibri"/>
          <w:kern w:val="0"/>
          <w14:ligatures w14:val="none"/>
        </w:rPr>
        <w:t xml:space="preserve"> ning arvamuse avaldamiseks </w:t>
      </w:r>
      <w:r w:rsidR="004B04FB" w:rsidRPr="00292116">
        <w:rPr>
          <w:rFonts w:eastAsia="Calibri"/>
          <w:kern w:val="0"/>
          <w14:ligatures w14:val="none"/>
        </w:rPr>
        <w:t xml:space="preserve">Ettevõtluse ja Innovatsiooni Sihtasutusele, </w:t>
      </w:r>
      <w:r w:rsidR="00292116">
        <w:rPr>
          <w:rFonts w:eastAsia="Calibri"/>
          <w:kern w:val="0"/>
          <w14:ligatures w14:val="none"/>
        </w:rPr>
        <w:t xml:space="preserve">Kaitsepolitseiametile, </w:t>
      </w:r>
      <w:proofErr w:type="spellStart"/>
      <w:r w:rsidR="004B04FB" w:rsidRPr="00292116">
        <w:rPr>
          <w:rFonts w:eastAsia="Calibri"/>
          <w:kern w:val="0"/>
          <w14:ligatures w14:val="none"/>
        </w:rPr>
        <w:t>PPA-le</w:t>
      </w:r>
      <w:proofErr w:type="spellEnd"/>
      <w:r w:rsidR="004B04FB" w:rsidRPr="00292116">
        <w:rPr>
          <w:rFonts w:eastAsia="Calibri"/>
          <w:kern w:val="0"/>
          <w14:ligatures w14:val="none"/>
        </w:rPr>
        <w:t xml:space="preserve">, </w:t>
      </w:r>
      <w:r w:rsidR="00292116">
        <w:rPr>
          <w:rFonts w:eastAsia="Calibri"/>
          <w:kern w:val="0"/>
          <w14:ligatures w14:val="none"/>
        </w:rPr>
        <w:t>Rahapesu Andmebüroole</w:t>
      </w:r>
      <w:r w:rsidR="00F8385E">
        <w:rPr>
          <w:rFonts w:eastAsia="Calibri"/>
          <w:kern w:val="0"/>
          <w14:ligatures w14:val="none"/>
        </w:rPr>
        <w:t xml:space="preserve">, </w:t>
      </w:r>
      <w:r w:rsidR="00F8385E" w:rsidRPr="00F8385E">
        <w:rPr>
          <w:rFonts w:eastAsia="Calibri"/>
          <w:kern w:val="0"/>
          <w14:ligatures w14:val="none"/>
        </w:rPr>
        <w:t>Siseministeeriumi infotehnoloogia- ja arenduskeskus</w:t>
      </w:r>
      <w:r w:rsidR="00F8385E">
        <w:rPr>
          <w:rFonts w:eastAsia="Calibri"/>
          <w:kern w:val="0"/>
          <w14:ligatures w14:val="none"/>
        </w:rPr>
        <w:t>ele</w:t>
      </w:r>
      <w:r w:rsidR="00292116">
        <w:rPr>
          <w:rFonts w:eastAsia="Calibri"/>
          <w:kern w:val="0"/>
          <w14:ligatures w14:val="none"/>
        </w:rPr>
        <w:t xml:space="preserve"> ja Välisluureametile</w:t>
      </w:r>
      <w:r w:rsidRPr="00292116">
        <w:rPr>
          <w:rFonts w:eastAsia="Times New Roman" w:cs="Times New Roman"/>
          <w:color w:val="auto"/>
          <w:kern w:val="0"/>
          <w:szCs w:val="24"/>
          <w14:ligatures w14:val="none"/>
        </w:rPr>
        <w:t>.</w:t>
      </w:r>
    </w:p>
    <w:sectPr w:rsidR="008F4574" w:rsidRPr="00DD26F6" w:rsidSect="00B323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DBD2" w14:textId="77777777" w:rsidR="00A63854" w:rsidRDefault="00A63854" w:rsidP="00B32360">
      <w:r>
        <w:separator/>
      </w:r>
    </w:p>
  </w:endnote>
  <w:endnote w:type="continuationSeparator" w:id="0">
    <w:p w14:paraId="6F1DFCDE" w14:textId="77777777" w:rsidR="00A63854" w:rsidRDefault="00A63854" w:rsidP="00B3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6635" w14:textId="77777777" w:rsidR="00A63854" w:rsidRDefault="00A63854" w:rsidP="00B32360">
      <w:r>
        <w:separator/>
      </w:r>
    </w:p>
  </w:footnote>
  <w:footnote w:type="continuationSeparator" w:id="0">
    <w:p w14:paraId="642B10A9" w14:textId="77777777" w:rsidR="00A63854" w:rsidRDefault="00A63854" w:rsidP="00B32360">
      <w:r>
        <w:continuationSeparator/>
      </w:r>
    </w:p>
  </w:footnote>
  <w:footnote w:id="1">
    <w:p w14:paraId="6D4C6D2D" w14:textId="77777777" w:rsidR="00B32360" w:rsidRDefault="00B32360" w:rsidP="00B32360">
      <w:pPr>
        <w:pStyle w:val="FootnoteText"/>
      </w:pPr>
      <w:r>
        <w:rPr>
          <w:rStyle w:val="FootnoteReference"/>
        </w:rPr>
        <w:footnoteRef/>
      </w:r>
      <w:r>
        <w:t xml:space="preserve"> Eelnõude infosüsteemi toimiku nr </w:t>
      </w:r>
      <w:hyperlink r:id="rId1" w:history="1">
        <w:r w:rsidRPr="00C67763">
          <w:rPr>
            <w:rStyle w:val="Hyperlink"/>
            <w:rFonts w:eastAsiaTheme="majorEastAsia"/>
          </w:rPr>
          <w:t>24-0064</w:t>
        </w:r>
      </w:hyperlink>
      <w:r>
        <w:t>.</w:t>
      </w:r>
    </w:p>
  </w:footnote>
  <w:footnote w:id="2">
    <w:p w14:paraId="09B2D6F3" w14:textId="77777777" w:rsidR="00654783" w:rsidRDefault="00654783" w:rsidP="00654783">
      <w:pPr>
        <w:pStyle w:val="FootnoteText"/>
      </w:pPr>
      <w:r>
        <w:rPr>
          <w:rStyle w:val="FootnoteReference"/>
        </w:rPr>
        <w:footnoteRef/>
      </w:r>
      <w:r>
        <w:t xml:space="preserve"> RAB 2022. Juhend kahtlaste tehingute tunnuste kohta. Lisa: </w:t>
      </w:r>
      <w:hyperlink r:id="rId2" w:anchor="juhend-kahtlaste-teh" w:history="1">
        <w:r w:rsidRPr="00C90A85">
          <w:rPr>
            <w:rStyle w:val="Hyperlink"/>
          </w:rPr>
          <w:t>kõrgema terrorismi rahastamise riskiga riigid ehk nn riskiriigid</w:t>
        </w:r>
      </w:hyperlink>
      <w:r>
        <w:t>.</w:t>
      </w:r>
    </w:p>
  </w:footnote>
  <w:footnote w:id="3">
    <w:p w14:paraId="4E48276B" w14:textId="77777777" w:rsidR="00E65656" w:rsidRPr="001D21B0" w:rsidRDefault="00E65656" w:rsidP="00E65656">
      <w:pPr>
        <w:pStyle w:val="FootnoteText"/>
      </w:pPr>
      <w:r w:rsidRPr="001D21B0">
        <w:rPr>
          <w:rStyle w:val="FootnoteReference"/>
        </w:rPr>
        <w:footnoteRef/>
      </w:r>
      <w:r w:rsidRPr="001D21B0">
        <w:t xml:space="preserve"> </w:t>
      </w:r>
      <w:hyperlink r:id="rId3" w:history="1">
        <w:r w:rsidRPr="001D21B0">
          <w:rPr>
            <w:rStyle w:val="Hyperlink"/>
          </w:rPr>
          <w:t>Rahapesuvastase töökonna koduleht</w:t>
        </w:r>
      </w:hyperlink>
      <w:r w:rsidRPr="001D21B0">
        <w:t>.</w:t>
      </w:r>
    </w:p>
  </w:footnote>
  <w:footnote w:id="4">
    <w:p w14:paraId="411D24B7" w14:textId="77777777" w:rsidR="00E65656" w:rsidRDefault="00E65656" w:rsidP="00E65656">
      <w:pPr>
        <w:pStyle w:val="FootnoteText"/>
      </w:pPr>
      <w:r w:rsidRPr="001D21B0">
        <w:rPr>
          <w:rStyle w:val="FootnoteReference"/>
        </w:rPr>
        <w:footnoteRef/>
      </w:r>
      <w:r w:rsidRPr="001D21B0">
        <w:t xml:space="preserve"> Euroopa Komisjon.</w:t>
      </w:r>
      <w:r>
        <w:t xml:space="preserve"> </w:t>
      </w:r>
      <w:hyperlink r:id="rId4" w:history="1">
        <w:r w:rsidRPr="00AA35F2">
          <w:rPr>
            <w:rStyle w:val="Hyperlink"/>
            <w:lang w:val="en-GB"/>
          </w:rPr>
          <w:t>Anti-money laundering and countering the financing of terrorism at international level</w:t>
        </w:r>
      </w:hyperlink>
      <w:r w:rsidRPr="001D21B0">
        <w:t>.</w:t>
      </w:r>
    </w:p>
  </w:footnote>
  <w:footnote w:id="5">
    <w:p w14:paraId="65D843A3" w14:textId="77777777" w:rsidR="006770BC" w:rsidRDefault="006770BC" w:rsidP="006770BC">
      <w:pPr>
        <w:pStyle w:val="FootnoteText"/>
      </w:pPr>
      <w:r>
        <w:rPr>
          <w:rStyle w:val="FootnoteReference"/>
        </w:rPr>
        <w:footnoteRef/>
      </w:r>
      <w:bookmarkStart w:id="0" w:name="_Hlk143629624"/>
      <w:r>
        <w:t xml:space="preserve"> MKM. </w:t>
      </w:r>
      <w:hyperlink r:id="rId5" w:history="1">
        <w:r w:rsidRPr="006B47FC">
          <w:rPr>
            <w:rStyle w:val="Hyperlink"/>
          </w:rPr>
          <w:t>E-</w:t>
        </w:r>
        <w:proofErr w:type="spellStart"/>
        <w:r w:rsidRPr="006B47FC">
          <w:rPr>
            <w:rStyle w:val="Hyperlink"/>
          </w:rPr>
          <w:t>residentsuse</w:t>
        </w:r>
        <w:proofErr w:type="spellEnd"/>
        <w:r w:rsidRPr="006B47FC">
          <w:rPr>
            <w:rStyle w:val="Hyperlink"/>
          </w:rPr>
          <w:t xml:space="preserve"> jätkustrateegia 2022–2025</w:t>
        </w:r>
        <w:bookmarkEnd w:id="0"/>
      </w:hyperlink>
      <w:r>
        <w:t>.</w:t>
      </w:r>
    </w:p>
  </w:footnote>
  <w:footnote w:id="6">
    <w:p w14:paraId="34A7B761" w14:textId="77777777" w:rsidR="006770BC" w:rsidRDefault="006770BC" w:rsidP="006770BC">
      <w:pPr>
        <w:pStyle w:val="FootnoteText"/>
      </w:pPr>
      <w:r>
        <w:rPr>
          <w:rStyle w:val="FootnoteReference"/>
        </w:rPr>
        <w:footnoteRef/>
      </w:r>
      <w:r>
        <w:t xml:space="preserve"> RAM 2020. </w:t>
      </w:r>
      <w:hyperlink r:id="rId6" w:history="1">
        <w:r w:rsidRPr="002B0D8E">
          <w:rPr>
            <w:rStyle w:val="Hyperlink"/>
          </w:rPr>
          <w:t>Rahapesu ja terrorismi rahastamise riiklik riskihinnang</w:t>
        </w:r>
      </w:hyperlink>
      <w:r>
        <w:t>.</w:t>
      </w:r>
    </w:p>
  </w:footnote>
  <w:footnote w:id="7">
    <w:p w14:paraId="2132E50C" w14:textId="77777777" w:rsidR="006770BC" w:rsidRDefault="006770BC" w:rsidP="006770BC">
      <w:pPr>
        <w:pStyle w:val="FootnoteText"/>
      </w:pPr>
      <w:r>
        <w:rPr>
          <w:rStyle w:val="FootnoteReference"/>
        </w:rPr>
        <w:footnoteRef/>
      </w:r>
      <w:r>
        <w:t xml:space="preserve"> </w:t>
      </w:r>
      <w:r w:rsidRPr="00DD47E7">
        <w:rPr>
          <w:lang w:val="en-GB"/>
        </w:rPr>
        <w:t xml:space="preserve">Committee of Experts on the Evaluation of Anti-Money Laundering Measures and the Financing of Terrorism 2022. </w:t>
      </w:r>
      <w:hyperlink r:id="rId7" w:history="1">
        <w:r w:rsidRPr="00DD47E7">
          <w:rPr>
            <w:rStyle w:val="Hyperlink"/>
            <w:lang w:val="en-GB"/>
          </w:rPr>
          <w:t>Anti-money laundering and counter-terrorist financing measures. Estonia. Fifth Round Mutual Evaluation Report</w:t>
        </w:r>
      </w:hyperlink>
      <w:r>
        <w:t>.</w:t>
      </w:r>
    </w:p>
  </w:footnote>
  <w:footnote w:id="8">
    <w:p w14:paraId="5701ED8A" w14:textId="77777777" w:rsidR="009421C1" w:rsidRDefault="009421C1" w:rsidP="009421C1">
      <w:pPr>
        <w:pStyle w:val="FootnoteText"/>
      </w:pPr>
      <w:r>
        <w:rPr>
          <w:rStyle w:val="FootnoteReference"/>
        </w:rPr>
        <w:footnoteRef/>
      </w:r>
      <w:r>
        <w:t xml:space="preserve"> RAB 2022. Juhend kahtlaste tehingute tunnuste kohta. Lisa: </w:t>
      </w:r>
      <w:hyperlink r:id="rId8" w:anchor="juhend-kahtlaste-teh" w:history="1">
        <w:r w:rsidRPr="00C90A85">
          <w:rPr>
            <w:rStyle w:val="Hyperlink"/>
          </w:rPr>
          <w:t>kõrgema terrorismi rahastamise riskiga riigid ehk nn riskiriigid</w:t>
        </w:r>
      </w:hyperlink>
      <w:r>
        <w:t>.</w:t>
      </w:r>
    </w:p>
  </w:footnote>
  <w:footnote w:id="9">
    <w:p w14:paraId="0002A94B" w14:textId="77777777" w:rsidR="009421C1" w:rsidRPr="001D21B0" w:rsidRDefault="009421C1" w:rsidP="009421C1">
      <w:pPr>
        <w:pStyle w:val="FootnoteText"/>
      </w:pPr>
      <w:r w:rsidRPr="001D21B0">
        <w:rPr>
          <w:rStyle w:val="FootnoteReference"/>
        </w:rPr>
        <w:footnoteRef/>
      </w:r>
      <w:r w:rsidRPr="001D21B0">
        <w:t xml:space="preserve"> </w:t>
      </w:r>
      <w:hyperlink r:id="rId9" w:history="1">
        <w:r w:rsidRPr="001D21B0">
          <w:rPr>
            <w:rStyle w:val="Hyperlink"/>
          </w:rPr>
          <w:t>Rahapesuvastase töökonna koduleht</w:t>
        </w:r>
      </w:hyperlink>
      <w:r w:rsidRPr="001D21B0">
        <w:t>.</w:t>
      </w:r>
    </w:p>
  </w:footnote>
  <w:footnote w:id="10">
    <w:p w14:paraId="012553C7" w14:textId="77777777" w:rsidR="009421C1" w:rsidRDefault="009421C1" w:rsidP="009421C1">
      <w:pPr>
        <w:pStyle w:val="FootnoteText"/>
      </w:pPr>
      <w:r w:rsidRPr="001D21B0">
        <w:rPr>
          <w:rStyle w:val="FootnoteReference"/>
        </w:rPr>
        <w:footnoteRef/>
      </w:r>
      <w:r w:rsidRPr="001D21B0">
        <w:t xml:space="preserve"> Euroopa Komisjon.</w:t>
      </w:r>
      <w:r>
        <w:t xml:space="preserve"> </w:t>
      </w:r>
      <w:hyperlink r:id="rId10" w:history="1">
        <w:r w:rsidRPr="00AA35F2">
          <w:rPr>
            <w:rStyle w:val="Hyperlink"/>
            <w:lang w:val="en-GB"/>
          </w:rPr>
          <w:t>Anti-money laundering and countering the financing of terrorism at international level</w:t>
        </w:r>
      </w:hyperlink>
      <w:r w:rsidRPr="001D21B0">
        <w:t>.</w:t>
      </w:r>
    </w:p>
  </w:footnote>
  <w:footnote w:id="11">
    <w:p w14:paraId="18647FBA" w14:textId="3344DD7A" w:rsidR="0050436C" w:rsidRDefault="0050436C">
      <w:pPr>
        <w:pStyle w:val="FootnoteText"/>
      </w:pPr>
      <w:r>
        <w:rPr>
          <w:rStyle w:val="FootnoteReference"/>
        </w:rPr>
        <w:footnoteRef/>
      </w:r>
      <w:r>
        <w:t xml:space="preserve"> </w:t>
      </w:r>
      <w:hyperlink r:id="rId11" w:history="1">
        <w:r w:rsidR="00222E5D" w:rsidRPr="00222E5D">
          <w:rPr>
            <w:rStyle w:val="Hyperlink"/>
            <w:rFonts w:cs="Arial"/>
          </w:rPr>
          <w:t>572 SE</w:t>
        </w:r>
      </w:hyperlink>
      <w:r w:rsidR="00222E5D">
        <w:t xml:space="preserve">, p </w:t>
      </w:r>
      <w:r w:rsidR="00EB4A69">
        <w:t>6.1.2.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621F8"/>
    <w:multiLevelType w:val="hybridMultilevel"/>
    <w:tmpl w:val="1F5A12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36180090"/>
    <w:multiLevelType w:val="hybridMultilevel"/>
    <w:tmpl w:val="679081F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855658C"/>
    <w:multiLevelType w:val="hybridMultilevel"/>
    <w:tmpl w:val="AD7274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69831F72"/>
    <w:multiLevelType w:val="hybridMultilevel"/>
    <w:tmpl w:val="5254F3E6"/>
    <w:lvl w:ilvl="0" w:tplc="9FC2821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74944527">
    <w:abstractNumId w:val="1"/>
  </w:num>
  <w:num w:numId="2" w16cid:durableId="1725443100">
    <w:abstractNumId w:val="2"/>
  </w:num>
  <w:num w:numId="3" w16cid:durableId="755633308">
    <w:abstractNumId w:val="3"/>
  </w:num>
  <w:num w:numId="4" w16cid:durableId="1438217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60"/>
    <w:rsid w:val="00012419"/>
    <w:rsid w:val="00094CDB"/>
    <w:rsid w:val="000A590D"/>
    <w:rsid w:val="00123531"/>
    <w:rsid w:val="001B5A16"/>
    <w:rsid w:val="001C2320"/>
    <w:rsid w:val="00201AFB"/>
    <w:rsid w:val="00222E5D"/>
    <w:rsid w:val="00286893"/>
    <w:rsid w:val="00292116"/>
    <w:rsid w:val="002E2B07"/>
    <w:rsid w:val="00352A80"/>
    <w:rsid w:val="003F296F"/>
    <w:rsid w:val="00454FDF"/>
    <w:rsid w:val="004B04FB"/>
    <w:rsid w:val="0050436C"/>
    <w:rsid w:val="005A6D2C"/>
    <w:rsid w:val="00654783"/>
    <w:rsid w:val="00657293"/>
    <w:rsid w:val="006770BC"/>
    <w:rsid w:val="006D7FBE"/>
    <w:rsid w:val="006F71B0"/>
    <w:rsid w:val="007D501E"/>
    <w:rsid w:val="007E0CE2"/>
    <w:rsid w:val="00820F56"/>
    <w:rsid w:val="0084358E"/>
    <w:rsid w:val="00847521"/>
    <w:rsid w:val="008C7CBE"/>
    <w:rsid w:val="008F0DD6"/>
    <w:rsid w:val="008F4574"/>
    <w:rsid w:val="00910608"/>
    <w:rsid w:val="009278C3"/>
    <w:rsid w:val="009421C1"/>
    <w:rsid w:val="00945FC0"/>
    <w:rsid w:val="00A1307D"/>
    <w:rsid w:val="00A63854"/>
    <w:rsid w:val="00A728DD"/>
    <w:rsid w:val="00A92AA1"/>
    <w:rsid w:val="00AC202C"/>
    <w:rsid w:val="00AF4BB8"/>
    <w:rsid w:val="00B32360"/>
    <w:rsid w:val="00BE1D3D"/>
    <w:rsid w:val="00BE769B"/>
    <w:rsid w:val="00BF33BE"/>
    <w:rsid w:val="00C00177"/>
    <w:rsid w:val="00C37ADB"/>
    <w:rsid w:val="00C619DB"/>
    <w:rsid w:val="00C8723A"/>
    <w:rsid w:val="00C95925"/>
    <w:rsid w:val="00CB3EA6"/>
    <w:rsid w:val="00D03FC4"/>
    <w:rsid w:val="00D14749"/>
    <w:rsid w:val="00D2769D"/>
    <w:rsid w:val="00DD26F6"/>
    <w:rsid w:val="00E02411"/>
    <w:rsid w:val="00E2429D"/>
    <w:rsid w:val="00E65656"/>
    <w:rsid w:val="00E80CC2"/>
    <w:rsid w:val="00EA0C97"/>
    <w:rsid w:val="00EA5EAC"/>
    <w:rsid w:val="00EB4A69"/>
    <w:rsid w:val="00EC0D3C"/>
    <w:rsid w:val="00ED5FF1"/>
    <w:rsid w:val="00EF0D06"/>
    <w:rsid w:val="00EF7474"/>
    <w:rsid w:val="00F73927"/>
    <w:rsid w:val="00F8385E"/>
    <w:rsid w:val="00F9534D"/>
    <w:rsid w:val="00FF5E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BAE8"/>
  <w15:chartTrackingRefBased/>
  <w15:docId w15:val="{F49D23F8-90E4-4F68-8F22-E47851EE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3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3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23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23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23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236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236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3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3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23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23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23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23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23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2360"/>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3236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323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3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23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360"/>
    <w:rPr>
      <w:i/>
      <w:iCs/>
      <w:color w:val="404040" w:themeColor="text1" w:themeTint="BF"/>
    </w:rPr>
  </w:style>
  <w:style w:type="paragraph" w:styleId="ListParagraph">
    <w:name w:val="List Paragraph"/>
    <w:basedOn w:val="Normal"/>
    <w:link w:val="ListParagraphChar"/>
    <w:uiPriority w:val="34"/>
    <w:qFormat/>
    <w:rsid w:val="00B32360"/>
    <w:pPr>
      <w:ind w:left="720"/>
      <w:contextualSpacing/>
    </w:pPr>
  </w:style>
  <w:style w:type="character" w:styleId="IntenseEmphasis">
    <w:name w:val="Intense Emphasis"/>
    <w:basedOn w:val="DefaultParagraphFont"/>
    <w:uiPriority w:val="21"/>
    <w:qFormat/>
    <w:rsid w:val="00B32360"/>
    <w:rPr>
      <w:i/>
      <w:iCs/>
      <w:color w:val="0F4761" w:themeColor="accent1" w:themeShade="BF"/>
    </w:rPr>
  </w:style>
  <w:style w:type="paragraph" w:styleId="IntenseQuote">
    <w:name w:val="Intense Quote"/>
    <w:basedOn w:val="Normal"/>
    <w:next w:val="Normal"/>
    <w:link w:val="IntenseQuoteChar"/>
    <w:uiPriority w:val="30"/>
    <w:qFormat/>
    <w:rsid w:val="00B32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360"/>
    <w:rPr>
      <w:i/>
      <w:iCs/>
      <w:color w:val="0F4761" w:themeColor="accent1" w:themeShade="BF"/>
    </w:rPr>
  </w:style>
  <w:style w:type="character" w:styleId="IntenseReference">
    <w:name w:val="Intense Reference"/>
    <w:basedOn w:val="DefaultParagraphFont"/>
    <w:uiPriority w:val="32"/>
    <w:qFormat/>
    <w:rsid w:val="00B32360"/>
    <w:rPr>
      <w:b/>
      <w:bCs/>
      <w:smallCaps/>
      <w:color w:val="0F4761" w:themeColor="accent1" w:themeShade="BF"/>
      <w:spacing w:val="5"/>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
    <w:uiPriority w:val="99"/>
    <w:unhideWhenUsed/>
    <w:qFormat/>
    <w:rsid w:val="00B32360"/>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B32360"/>
    <w:rPr>
      <w:sz w:val="20"/>
      <w:szCs w:val="20"/>
    </w:rPr>
  </w:style>
  <w:style w:type="character" w:styleId="Hyperlink">
    <w:name w:val="Hyperlink"/>
    <w:basedOn w:val="DefaultParagraphFont"/>
    <w:uiPriority w:val="99"/>
    <w:unhideWhenUsed/>
    <w:rsid w:val="00B32360"/>
    <w:rPr>
      <w:rFonts w:ascii="Times New Roman" w:hAnsi="Times New Roman" w:cs="Times New Roman" w:hint="default"/>
      <w:color w:val="0000FF"/>
      <w:u w:val="singl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B32360"/>
    <w:rPr>
      <w:vertAlign w:val="superscript"/>
    </w:rPr>
  </w:style>
  <w:style w:type="character" w:styleId="CommentReference">
    <w:name w:val="annotation reference"/>
    <w:basedOn w:val="DefaultParagraphFont"/>
    <w:uiPriority w:val="99"/>
    <w:semiHidden/>
    <w:unhideWhenUsed/>
    <w:rsid w:val="00B32360"/>
    <w:rPr>
      <w:sz w:val="16"/>
      <w:szCs w:val="16"/>
    </w:rPr>
  </w:style>
  <w:style w:type="paragraph" w:styleId="CommentText">
    <w:name w:val="annotation text"/>
    <w:basedOn w:val="Normal"/>
    <w:link w:val="CommentTextChar"/>
    <w:uiPriority w:val="99"/>
    <w:unhideWhenUsed/>
    <w:rsid w:val="00B32360"/>
    <w:rPr>
      <w:sz w:val="20"/>
      <w:szCs w:val="20"/>
    </w:rPr>
  </w:style>
  <w:style w:type="character" w:customStyle="1" w:styleId="CommentTextChar">
    <w:name w:val="Comment Text Char"/>
    <w:basedOn w:val="DefaultParagraphFont"/>
    <w:link w:val="CommentText"/>
    <w:uiPriority w:val="99"/>
    <w:rsid w:val="00B32360"/>
    <w:rPr>
      <w:sz w:val="20"/>
      <w:szCs w:val="2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654783"/>
    <w:pPr>
      <w:spacing w:before="240" w:line="240" w:lineRule="exact"/>
      <w:jc w:val="both"/>
    </w:pPr>
    <w:rPr>
      <w:vertAlign w:val="superscript"/>
    </w:rPr>
  </w:style>
  <w:style w:type="character" w:customStyle="1" w:styleId="ListParagraphChar">
    <w:name w:val="List Paragraph Char"/>
    <w:link w:val="ListParagraph"/>
    <w:uiPriority w:val="34"/>
    <w:locked/>
    <w:rsid w:val="005A6D2C"/>
  </w:style>
  <w:style w:type="paragraph" w:styleId="Revision">
    <w:name w:val="Revision"/>
    <w:hidden/>
    <w:uiPriority w:val="99"/>
    <w:semiHidden/>
    <w:rsid w:val="00C619DB"/>
  </w:style>
  <w:style w:type="character" w:styleId="FollowedHyperlink">
    <w:name w:val="FollowedHyperlink"/>
    <w:basedOn w:val="DefaultParagraphFont"/>
    <w:uiPriority w:val="99"/>
    <w:semiHidden/>
    <w:unhideWhenUsed/>
    <w:rsid w:val="003F296F"/>
    <w:rPr>
      <w:color w:val="96607D" w:themeColor="followedHyperlink"/>
      <w:u w:val="single"/>
    </w:rPr>
  </w:style>
  <w:style w:type="table" w:styleId="TableGrid">
    <w:name w:val="Table Grid"/>
    <w:basedOn w:val="TableNormal"/>
    <w:uiPriority w:val="39"/>
    <w:rsid w:val="00ED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23531"/>
    <w:rPr>
      <w:b/>
      <w:bCs/>
    </w:rPr>
  </w:style>
  <w:style w:type="character" w:customStyle="1" w:styleId="CommentSubjectChar">
    <w:name w:val="Comment Subject Char"/>
    <w:basedOn w:val="CommentTextChar"/>
    <w:link w:val="CommentSubject"/>
    <w:uiPriority w:val="99"/>
    <w:semiHidden/>
    <w:rsid w:val="00123531"/>
    <w:rPr>
      <w:b/>
      <w:bCs/>
      <w:sz w:val="20"/>
      <w:szCs w:val="20"/>
    </w:rPr>
  </w:style>
  <w:style w:type="paragraph" w:customStyle="1" w:styleId="Default">
    <w:name w:val="Default"/>
    <w:rsid w:val="00657293"/>
    <w:pPr>
      <w:autoSpaceDE w:val="0"/>
      <w:autoSpaceDN w:val="0"/>
      <w:adjustRightInd w:val="0"/>
    </w:pPr>
    <w:rPr>
      <w:rFonts w:cs="Times New Roman"/>
      <w:color w:val="000000"/>
      <w:kern w:val="0"/>
      <w:szCs w:val="24"/>
    </w:rPr>
  </w:style>
  <w:style w:type="character" w:styleId="UnresolvedMention">
    <w:name w:val="Unresolved Mention"/>
    <w:basedOn w:val="DefaultParagraphFont"/>
    <w:uiPriority w:val="99"/>
    <w:semiHidden/>
    <w:unhideWhenUsed/>
    <w:rsid w:val="0022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99039">
      <w:bodyDiv w:val="1"/>
      <w:marLeft w:val="0"/>
      <w:marRight w:val="0"/>
      <w:marTop w:val="0"/>
      <w:marBottom w:val="0"/>
      <w:divBdr>
        <w:top w:val="none" w:sz="0" w:space="0" w:color="auto"/>
        <w:left w:val="none" w:sz="0" w:space="0" w:color="auto"/>
        <w:bottom w:val="none" w:sz="0" w:space="0" w:color="auto"/>
        <w:right w:val="none" w:sz="0" w:space="0" w:color="auto"/>
      </w:divBdr>
    </w:div>
    <w:div w:id="516434008">
      <w:bodyDiv w:val="1"/>
      <w:marLeft w:val="0"/>
      <w:marRight w:val="0"/>
      <w:marTop w:val="0"/>
      <w:marBottom w:val="0"/>
      <w:divBdr>
        <w:top w:val="none" w:sz="0" w:space="0" w:color="auto"/>
        <w:left w:val="none" w:sz="0" w:space="0" w:color="auto"/>
        <w:bottom w:val="none" w:sz="0" w:space="0" w:color="auto"/>
        <w:right w:val="none" w:sz="0" w:space="0" w:color="auto"/>
      </w:divBdr>
    </w:div>
    <w:div w:id="1110902117">
      <w:bodyDiv w:val="1"/>
      <w:marLeft w:val="0"/>
      <w:marRight w:val="0"/>
      <w:marTop w:val="0"/>
      <w:marBottom w:val="0"/>
      <w:divBdr>
        <w:top w:val="none" w:sz="0" w:space="0" w:color="auto"/>
        <w:left w:val="none" w:sz="0" w:space="0" w:color="auto"/>
        <w:bottom w:val="none" w:sz="0" w:space="0" w:color="auto"/>
        <w:right w:val="none" w:sz="0" w:space="0" w:color="auto"/>
      </w:divBdr>
    </w:div>
    <w:div w:id="15889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kraavik@siseministeerium.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et.saankyll@siseministeeriu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iu.ee/oigusaktid-ja-juhendid/juhendid" TargetMode="External"/><Relationship Id="rId3" Type="http://schemas.openxmlformats.org/officeDocument/2006/relationships/hyperlink" Target="http://www.fatf-gafi.org" TargetMode="External"/><Relationship Id="rId7" Type="http://schemas.openxmlformats.org/officeDocument/2006/relationships/hyperlink" Target="https://rm.coe.int/moneyval-2022-11-mer-estonia/1680a9dd96" TargetMode="External"/><Relationship Id="rId2" Type="http://schemas.openxmlformats.org/officeDocument/2006/relationships/hyperlink" Target="https://fiu.ee/oigusaktid-ja-juhendid/juhendid" TargetMode="External"/><Relationship Id="rId1" Type="http://schemas.openxmlformats.org/officeDocument/2006/relationships/hyperlink" Target="https://eelnoud.valitsus.ee/main/mount/docList/078b456e-2d57-44bf-8c1e-4b2c5194240d" TargetMode="External"/><Relationship Id="rId6" Type="http://schemas.openxmlformats.org/officeDocument/2006/relationships/hyperlink" Target="https://www.fin.ee/finantspoliitika-valissuhted/rahapesu-ja-terrorismi-rahastamise-tokestamine/riskihinnangud" TargetMode="External"/><Relationship Id="rId11" Type="http://schemas.openxmlformats.org/officeDocument/2006/relationships/hyperlink" Target="https://www.riigikogu.ee/tegevus/eelnoud/eelnou/b39a7c3f-3fde-44e1-b7cb-40679867ed67/isikut-toendavate-dokumentide-seaduse-muutmise-ja-sellega-seonduvalt-teiste-seaduste-muutmise-seadus/" TargetMode="External"/><Relationship Id="rId5" Type="http://schemas.openxmlformats.org/officeDocument/2006/relationships/hyperlink" Target="https://mkm.ee/media/7208/download" TargetMode="External"/><Relationship Id="rId10" Type="http://schemas.openxmlformats.org/officeDocument/2006/relationships/hyperlink" Target="https://finance.ec.europa.eu/financial-crime/anti-money-laundering-and-countering-financing-terrorism-international-level_en" TargetMode="External"/><Relationship Id="rId4" Type="http://schemas.openxmlformats.org/officeDocument/2006/relationships/hyperlink" Target="https://finance.ec.europa.eu/financial-crime/anti-money-laundering-and-countering-financing-terrorism-international-level_en" TargetMode="External"/><Relationship Id="rId9" Type="http://schemas.openxmlformats.org/officeDocument/2006/relationships/hyperlink" Target="http://www.fatf-gafi.org"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3D77F-2042-43CB-9E99-B5EAEE8E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1829</Words>
  <Characters>10612</Characters>
  <Application>Microsoft Office Word</Application>
  <DocSecurity>0</DocSecurity>
  <Lines>88</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Elen Kraavik</cp:lastModifiedBy>
  <cp:revision>4</cp:revision>
  <dcterms:created xsi:type="dcterms:W3CDTF">2025-08-14T10:03:00Z</dcterms:created>
  <dcterms:modified xsi:type="dcterms:W3CDTF">2025-08-14T10:04:00Z</dcterms:modified>
</cp:coreProperties>
</file>